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39BA5" w14:textId="577685DD" w:rsidR="00A638EC" w:rsidRPr="00BB4D81" w:rsidRDefault="001B1BA1" w:rsidP="000B03EB">
      <w:pPr>
        <w:pStyle w:val="Subtitle"/>
        <w:jc w:val="right"/>
        <w:rPr>
          <w:rFonts w:asciiTheme="majorHAnsi" w:hAnsiTheme="majorHAnsi" w:cstheme="majorHAnsi"/>
        </w:rPr>
      </w:pPr>
      <w:r w:rsidRPr="00BB4D81">
        <w:rPr>
          <w:rFonts w:asciiTheme="majorHAnsi" w:hAnsiTheme="majorHAnsi" w:cstheme="majorHAnsi"/>
        </w:rPr>
        <w:t>DELIVERABLE</w:t>
      </w:r>
      <w:r w:rsidR="00A638EC" w:rsidRPr="00BB4D81">
        <w:rPr>
          <w:rFonts w:asciiTheme="majorHAnsi" w:hAnsiTheme="majorHAnsi" w:cstheme="majorHAnsi"/>
        </w:rPr>
        <w:t xml:space="preserve"> </w:t>
      </w:r>
      <w:r w:rsidR="000938DF" w:rsidRPr="00BB4D81">
        <w:rPr>
          <w:rFonts w:asciiTheme="majorHAnsi" w:hAnsiTheme="majorHAnsi" w:cstheme="majorHAnsi"/>
        </w:rPr>
        <w:t>5</w:t>
      </w:r>
      <w:r w:rsidR="00B70A18" w:rsidRPr="00BB4D81">
        <w:rPr>
          <w:rFonts w:asciiTheme="majorHAnsi" w:hAnsiTheme="majorHAnsi" w:cstheme="majorHAnsi"/>
        </w:rPr>
        <w:t>.</w:t>
      </w:r>
      <w:r w:rsidR="004B1A08" w:rsidRPr="00BB4D81">
        <w:rPr>
          <w:rFonts w:asciiTheme="majorHAnsi" w:hAnsiTheme="majorHAnsi" w:cstheme="majorHAnsi"/>
        </w:rPr>
        <w:t>2</w:t>
      </w:r>
    </w:p>
    <w:p w14:paraId="4336CB41" w14:textId="783B87A5" w:rsidR="00A638EC" w:rsidRPr="006B1A80" w:rsidRDefault="00F76523" w:rsidP="000B03EB">
      <w:pPr>
        <w:pStyle w:val="Subtitle"/>
        <w:jc w:val="right"/>
        <w:rPr>
          <w:rFonts w:asciiTheme="majorHAnsi" w:hAnsiTheme="majorHAnsi" w:cstheme="majorHAnsi"/>
          <w:color w:val="auto"/>
        </w:rPr>
      </w:pPr>
      <w:sdt>
        <w:sdtPr>
          <w:rPr>
            <w:rFonts w:asciiTheme="majorHAnsi" w:hAnsiTheme="majorHAnsi" w:cstheme="majorHAnsi"/>
            <w:color w:val="auto"/>
          </w:rPr>
          <w:alias w:val="Enter date:"/>
          <w:tag w:val="Enter date:"/>
          <w:id w:val="-664086759"/>
          <w:placeholder>
            <w:docPart w:val="02CD0987310A4191BAFACB842CA5FAE2"/>
          </w:placeholder>
          <w:dataBinding w:prefixMappings="xmlns:ns0='http://schemas.microsoft.com/office/2006/coverPageProps' " w:xpath="/ns0:CoverPageProperties[1]/ns0:CompanyFax[1]" w:storeItemID="{55AF091B-3C7A-41E3-B477-F2FDAA23CFDA}"/>
          <w:text/>
        </w:sdtPr>
        <w:sdtEndPr/>
        <w:sdtContent>
          <w:r w:rsidR="008D21AA" w:rsidRPr="006B1A80">
            <w:rPr>
              <w:rFonts w:asciiTheme="majorHAnsi" w:hAnsiTheme="majorHAnsi" w:cstheme="majorHAnsi"/>
              <w:color w:val="auto"/>
            </w:rPr>
            <w:t>AUGUST</w:t>
          </w:r>
          <w:r w:rsidR="00983DB3" w:rsidRPr="006B1A80">
            <w:rPr>
              <w:rFonts w:asciiTheme="majorHAnsi" w:hAnsiTheme="majorHAnsi" w:cstheme="majorHAnsi"/>
              <w:color w:val="auto"/>
            </w:rPr>
            <w:t xml:space="preserve"> 2020</w:t>
          </w:r>
        </w:sdtContent>
      </w:sdt>
    </w:p>
    <w:p w14:paraId="28204CF0" w14:textId="77777777" w:rsidR="00033061" w:rsidRPr="00BB4D81" w:rsidRDefault="00033061" w:rsidP="001B1BA1">
      <w:pPr>
        <w:jc w:val="right"/>
        <w:rPr>
          <w:rFonts w:asciiTheme="majorHAnsi" w:eastAsiaTheme="majorEastAsia" w:hAnsiTheme="majorHAnsi" w:cstheme="majorHAnsi"/>
          <w:caps/>
          <w:color w:val="2F2F2F" w:themeColor="accent2" w:themeShade="BF"/>
          <w:sz w:val="52"/>
          <w:szCs w:val="52"/>
        </w:rPr>
      </w:pPr>
    </w:p>
    <w:p w14:paraId="7A34623C" w14:textId="77777777" w:rsidR="00033061" w:rsidRPr="00BB4D81" w:rsidRDefault="008F1182" w:rsidP="001B1BA1">
      <w:pPr>
        <w:jc w:val="right"/>
        <w:rPr>
          <w:rFonts w:asciiTheme="majorHAnsi" w:eastAsiaTheme="majorEastAsia" w:hAnsiTheme="majorHAnsi" w:cstheme="majorHAnsi"/>
          <w:caps/>
          <w:color w:val="2F2F2F" w:themeColor="accent2" w:themeShade="BF"/>
          <w:sz w:val="52"/>
          <w:szCs w:val="52"/>
        </w:rPr>
      </w:pPr>
      <w:r w:rsidRPr="00BB4D81">
        <w:rPr>
          <w:rFonts w:asciiTheme="majorHAnsi" w:hAnsiTheme="majorHAnsi" w:cstheme="majorHAnsi"/>
          <w:noProof/>
          <w:lang w:eastAsia="en-IE"/>
        </w:rPr>
        <w:drawing>
          <wp:anchor distT="0" distB="0" distL="114300" distR="114300" simplePos="0" relativeHeight="251658240" behindDoc="0" locked="0" layoutInCell="1" allowOverlap="1" wp14:anchorId="17CBC6E8" wp14:editId="7F9A7CE8">
            <wp:simplePos x="0" y="0"/>
            <wp:positionH relativeFrom="column">
              <wp:posOffset>1764665</wp:posOffset>
            </wp:positionH>
            <wp:positionV relativeFrom="paragraph">
              <wp:posOffset>96520</wp:posOffset>
            </wp:positionV>
            <wp:extent cx="4205605" cy="160528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5605" cy="1605280"/>
                    </a:xfrm>
                    <a:prstGeom prst="rect">
                      <a:avLst/>
                    </a:prstGeom>
                    <a:noFill/>
                    <a:ln>
                      <a:noFill/>
                    </a:ln>
                  </pic:spPr>
                </pic:pic>
              </a:graphicData>
            </a:graphic>
          </wp:anchor>
        </w:drawing>
      </w:r>
    </w:p>
    <w:p w14:paraId="46A989D6" w14:textId="77777777" w:rsidR="003E6106" w:rsidRPr="00BB4D81" w:rsidRDefault="003E6106" w:rsidP="001B1BA1">
      <w:pPr>
        <w:jc w:val="right"/>
        <w:rPr>
          <w:rFonts w:asciiTheme="majorHAnsi" w:eastAsiaTheme="majorEastAsia" w:hAnsiTheme="majorHAnsi" w:cstheme="majorHAnsi"/>
          <w:caps/>
          <w:color w:val="2F2F2F" w:themeColor="accent2" w:themeShade="BF"/>
          <w:sz w:val="52"/>
          <w:szCs w:val="52"/>
        </w:rPr>
      </w:pPr>
    </w:p>
    <w:p w14:paraId="7119C243" w14:textId="77777777" w:rsidR="001B1BA1" w:rsidRPr="00BB4D81" w:rsidRDefault="001B1BA1" w:rsidP="001B1BA1">
      <w:pPr>
        <w:jc w:val="right"/>
        <w:rPr>
          <w:rFonts w:asciiTheme="majorHAnsi" w:eastAsiaTheme="majorEastAsia" w:hAnsiTheme="majorHAnsi" w:cstheme="majorHAnsi"/>
          <w:caps/>
          <w:color w:val="2F2F2F" w:themeColor="accent2" w:themeShade="BF"/>
          <w:sz w:val="52"/>
          <w:szCs w:val="52"/>
        </w:rPr>
      </w:pPr>
      <w:r w:rsidRPr="00BB4D81">
        <w:rPr>
          <w:rFonts w:asciiTheme="majorHAnsi" w:eastAsiaTheme="majorEastAsia" w:hAnsiTheme="majorHAnsi" w:cstheme="majorHAnsi"/>
          <w:caps/>
          <w:color w:val="2F2F2F" w:themeColor="accent2" w:themeShade="BF"/>
          <w:sz w:val="52"/>
          <w:szCs w:val="52"/>
        </w:rPr>
        <w:t>Facilitatin</w:t>
      </w:r>
      <w:r w:rsidRPr="00BB4D81">
        <w:rPr>
          <w:rFonts w:asciiTheme="majorHAnsi" w:eastAsiaTheme="majorEastAsia" w:hAnsiTheme="majorHAnsi" w:cstheme="majorHAnsi"/>
          <w:b/>
          <w:caps/>
          <w:color w:val="EC1856"/>
          <w:sz w:val="56"/>
          <w:szCs w:val="52"/>
        </w:rPr>
        <w:t>g</w:t>
      </w:r>
      <w:r w:rsidRPr="00BB4D81">
        <w:rPr>
          <w:rFonts w:asciiTheme="majorHAnsi" w:eastAsiaTheme="majorEastAsia" w:hAnsiTheme="majorHAnsi" w:cstheme="majorHAnsi"/>
          <w:caps/>
          <w:color w:val="2F2F2F" w:themeColor="accent2" w:themeShade="BF"/>
          <w:sz w:val="52"/>
          <w:szCs w:val="52"/>
        </w:rPr>
        <w:t xml:space="preserve"> the </w:t>
      </w:r>
      <w:r w:rsidRPr="00BB4D81">
        <w:rPr>
          <w:rFonts w:asciiTheme="majorHAnsi" w:eastAsiaTheme="majorEastAsia" w:hAnsiTheme="majorHAnsi" w:cstheme="majorHAnsi"/>
          <w:b/>
          <w:caps/>
          <w:color w:val="FFC000"/>
          <w:sz w:val="56"/>
          <w:szCs w:val="52"/>
        </w:rPr>
        <w:t>A</w:t>
      </w:r>
      <w:r w:rsidRPr="00BB4D81">
        <w:rPr>
          <w:rFonts w:asciiTheme="majorHAnsi" w:eastAsiaTheme="majorEastAsia" w:hAnsiTheme="majorHAnsi" w:cstheme="majorHAnsi"/>
          <w:caps/>
          <w:color w:val="2F2F2F" w:themeColor="accent2" w:themeShade="BF"/>
          <w:sz w:val="52"/>
          <w:szCs w:val="52"/>
        </w:rPr>
        <w:t xml:space="preserve">uthorisation of </w:t>
      </w:r>
      <w:r w:rsidRPr="00BB4D81">
        <w:rPr>
          <w:rFonts w:asciiTheme="majorHAnsi" w:eastAsiaTheme="majorEastAsia" w:hAnsiTheme="majorHAnsi" w:cstheme="majorHAnsi"/>
          <w:b/>
          <w:caps/>
          <w:color w:val="92D050"/>
          <w:sz w:val="56"/>
          <w:szCs w:val="52"/>
        </w:rPr>
        <w:t>P</w:t>
      </w:r>
      <w:r w:rsidRPr="00BB4D81">
        <w:rPr>
          <w:rFonts w:asciiTheme="majorHAnsi" w:eastAsiaTheme="majorEastAsia" w:hAnsiTheme="majorHAnsi" w:cstheme="majorHAnsi"/>
          <w:caps/>
          <w:color w:val="2F2F2F" w:themeColor="accent2" w:themeShade="BF"/>
          <w:sz w:val="52"/>
          <w:szCs w:val="52"/>
        </w:rPr>
        <w:t xml:space="preserve">reparation </w:t>
      </w:r>
      <w:r w:rsidRPr="00BB4D81">
        <w:rPr>
          <w:rFonts w:asciiTheme="majorHAnsi" w:eastAsiaTheme="majorEastAsia" w:hAnsiTheme="majorHAnsi" w:cstheme="majorHAnsi"/>
          <w:b/>
          <w:caps/>
          <w:color w:val="00B0F0"/>
          <w:sz w:val="56"/>
          <w:szCs w:val="52"/>
        </w:rPr>
        <w:t>P</w:t>
      </w:r>
      <w:r w:rsidRPr="00BB4D81">
        <w:rPr>
          <w:rFonts w:asciiTheme="majorHAnsi" w:eastAsiaTheme="majorEastAsia" w:hAnsiTheme="majorHAnsi" w:cstheme="majorHAnsi"/>
          <w:caps/>
          <w:color w:val="2F2F2F" w:themeColor="accent2" w:themeShade="BF"/>
          <w:sz w:val="52"/>
          <w:szCs w:val="52"/>
        </w:rPr>
        <w:t>rocess for blood, tissues and cells</w:t>
      </w:r>
    </w:p>
    <w:sdt>
      <w:sdtPr>
        <w:rPr>
          <w:rFonts w:asciiTheme="majorHAnsi" w:hAnsiTheme="majorHAnsi" w:cstheme="majorHAnsi"/>
        </w:rPr>
        <w:alias w:val="Enter subtitle:"/>
        <w:tag w:val="Enter subtitle:"/>
        <w:id w:val="1134748392"/>
        <w:placeholder>
          <w:docPart w:val="9AC8044EFEF242EF9B5D7CF98B43DB87"/>
        </w:placeholder>
        <w:dataBinding w:prefixMappings="xmlns:ns0='http://purl.org/dc/elements/1.1/' xmlns:ns1='http://schemas.openxmlformats.org/package/2006/metadata/core-properties' " w:xpath="/ns1:coreProperties[1]/ns0:subject[1]" w:storeItemID="{6C3C8BC8-F283-45AE-878A-BAB7291924A1}"/>
        <w:text/>
      </w:sdtPr>
      <w:sdtEndPr/>
      <w:sdtContent>
        <w:p w14:paraId="043E7749" w14:textId="5D38927D" w:rsidR="00A638EC" w:rsidRPr="00BB4D81" w:rsidRDefault="004B1A08" w:rsidP="008F1182">
          <w:pPr>
            <w:pStyle w:val="Subtitle"/>
            <w:rPr>
              <w:rFonts w:asciiTheme="majorHAnsi" w:hAnsiTheme="majorHAnsi" w:cstheme="majorHAnsi"/>
            </w:rPr>
          </w:pPr>
          <w:r w:rsidRPr="00BB4D81">
            <w:rPr>
              <w:rFonts w:asciiTheme="majorHAnsi" w:hAnsiTheme="majorHAnsi" w:cstheme="majorHAnsi"/>
            </w:rPr>
            <w:t>Report on the outcome and conclusions of the survey, desk-based review of preparation process authorisations in other fields and the multi-country workshop</w:t>
          </w:r>
        </w:p>
      </w:sdtContent>
    </w:sdt>
    <w:tbl>
      <w:tblPr>
        <w:tblW w:w="5000" w:type="pct"/>
        <w:tblCellMar>
          <w:left w:w="0" w:type="dxa"/>
          <w:right w:w="0" w:type="dxa"/>
        </w:tblCellMar>
        <w:tblLook w:val="04A0" w:firstRow="1" w:lastRow="0" w:firstColumn="1" w:lastColumn="0" w:noHBand="0" w:noVBand="1"/>
      </w:tblPr>
      <w:tblGrid>
        <w:gridCol w:w="2465"/>
        <w:gridCol w:w="6895"/>
      </w:tblGrid>
      <w:tr w:rsidR="00033061" w:rsidRPr="00BB4D81" w14:paraId="0EFBE904" w14:textId="77777777" w:rsidTr="000D3084">
        <w:trPr>
          <w:tblHeader/>
        </w:trPr>
        <w:tc>
          <w:tcPr>
            <w:tcW w:w="2465" w:type="dxa"/>
            <w:tcBorders>
              <w:top w:val="nil"/>
              <w:left w:val="nil"/>
            </w:tcBorders>
            <w:vAlign w:val="bottom"/>
          </w:tcPr>
          <w:p w14:paraId="2ED0C61B" w14:textId="77777777" w:rsidR="00033061" w:rsidRPr="00BB4D81" w:rsidRDefault="00033061" w:rsidP="000D3084">
            <w:pPr>
              <w:rPr>
                <w:rFonts w:asciiTheme="majorHAnsi" w:hAnsiTheme="majorHAnsi" w:cstheme="majorHAnsi"/>
              </w:rPr>
            </w:pPr>
            <w:r w:rsidRPr="00BB4D81">
              <w:rPr>
                <w:rFonts w:asciiTheme="majorHAnsi" w:hAnsiTheme="majorHAnsi" w:cstheme="majorHAnsi"/>
              </w:rPr>
              <w:t>Date of submission:</w:t>
            </w:r>
          </w:p>
        </w:tc>
        <w:tc>
          <w:tcPr>
            <w:tcW w:w="6895" w:type="dxa"/>
            <w:tcBorders>
              <w:top w:val="nil"/>
              <w:right w:val="nil"/>
            </w:tcBorders>
            <w:vAlign w:val="bottom"/>
          </w:tcPr>
          <w:p w14:paraId="1A4CCA5C" w14:textId="4A67B4DF" w:rsidR="00033061" w:rsidRPr="00BB4D81" w:rsidRDefault="00033061" w:rsidP="00983DB3">
            <w:pPr>
              <w:rPr>
                <w:rFonts w:asciiTheme="majorHAnsi" w:hAnsiTheme="majorHAnsi" w:cstheme="majorHAnsi"/>
              </w:rPr>
            </w:pPr>
            <w:r w:rsidRPr="00BB4D81">
              <w:rPr>
                <w:rFonts w:asciiTheme="majorHAnsi" w:hAnsiTheme="majorHAnsi" w:cstheme="majorHAnsi"/>
              </w:rPr>
              <w:t>XX.XX.20</w:t>
            </w:r>
            <w:r w:rsidR="00983DB3" w:rsidRPr="00BB4D81">
              <w:rPr>
                <w:rFonts w:asciiTheme="majorHAnsi" w:hAnsiTheme="majorHAnsi" w:cstheme="majorHAnsi"/>
              </w:rPr>
              <w:t>20</w:t>
            </w:r>
          </w:p>
        </w:tc>
      </w:tr>
      <w:tr w:rsidR="00033061" w:rsidRPr="00BB4D81" w14:paraId="240C9178" w14:textId="77777777" w:rsidTr="000D3084">
        <w:tc>
          <w:tcPr>
            <w:tcW w:w="2465" w:type="dxa"/>
            <w:tcBorders>
              <w:left w:val="nil"/>
            </w:tcBorders>
          </w:tcPr>
          <w:p w14:paraId="7126FDC4" w14:textId="77777777" w:rsidR="00033061" w:rsidRPr="00BB4D81" w:rsidRDefault="00033061" w:rsidP="000D3084">
            <w:pPr>
              <w:rPr>
                <w:rFonts w:asciiTheme="majorHAnsi" w:hAnsiTheme="majorHAnsi" w:cstheme="majorHAnsi"/>
              </w:rPr>
            </w:pPr>
            <w:r w:rsidRPr="00BB4D81">
              <w:rPr>
                <w:rFonts w:asciiTheme="majorHAnsi" w:hAnsiTheme="majorHAnsi" w:cstheme="majorHAnsi"/>
              </w:rPr>
              <w:t>Work package:</w:t>
            </w:r>
          </w:p>
        </w:tc>
        <w:tc>
          <w:tcPr>
            <w:tcW w:w="6895" w:type="dxa"/>
            <w:tcBorders>
              <w:right w:val="nil"/>
            </w:tcBorders>
          </w:tcPr>
          <w:p w14:paraId="7FE234B2" w14:textId="62B8847C" w:rsidR="00033061" w:rsidRPr="00BB4D81" w:rsidRDefault="008824C4" w:rsidP="000938DF">
            <w:pPr>
              <w:rPr>
                <w:rFonts w:asciiTheme="majorHAnsi" w:hAnsiTheme="majorHAnsi" w:cstheme="majorHAnsi"/>
              </w:rPr>
            </w:pPr>
            <w:r w:rsidRPr="00BB4D81">
              <w:rPr>
                <w:rFonts w:asciiTheme="majorHAnsi" w:hAnsiTheme="majorHAnsi" w:cstheme="majorHAnsi"/>
              </w:rPr>
              <w:t>WP</w:t>
            </w:r>
            <w:r w:rsidR="000938DF" w:rsidRPr="00BB4D81">
              <w:rPr>
                <w:rFonts w:asciiTheme="majorHAnsi" w:hAnsiTheme="majorHAnsi" w:cstheme="majorHAnsi"/>
              </w:rPr>
              <w:t>5</w:t>
            </w:r>
          </w:p>
        </w:tc>
      </w:tr>
      <w:tr w:rsidR="00033061" w:rsidRPr="00BB4D81" w14:paraId="333C6B73" w14:textId="77777777" w:rsidTr="000D3084">
        <w:tc>
          <w:tcPr>
            <w:tcW w:w="2465" w:type="dxa"/>
            <w:tcBorders>
              <w:left w:val="nil"/>
            </w:tcBorders>
          </w:tcPr>
          <w:p w14:paraId="1135655D" w14:textId="77777777" w:rsidR="00033061" w:rsidRPr="00BB4D81" w:rsidRDefault="00033061" w:rsidP="000D3084">
            <w:pPr>
              <w:rPr>
                <w:rFonts w:asciiTheme="majorHAnsi" w:hAnsiTheme="majorHAnsi" w:cstheme="majorHAnsi"/>
              </w:rPr>
            </w:pPr>
            <w:r w:rsidRPr="00BB4D81">
              <w:rPr>
                <w:rFonts w:asciiTheme="majorHAnsi" w:hAnsiTheme="majorHAnsi" w:cstheme="majorHAnsi"/>
              </w:rPr>
              <w:t>Author(s):</w:t>
            </w:r>
          </w:p>
        </w:tc>
        <w:tc>
          <w:tcPr>
            <w:tcW w:w="6895" w:type="dxa"/>
            <w:tcBorders>
              <w:right w:val="nil"/>
            </w:tcBorders>
          </w:tcPr>
          <w:p w14:paraId="487E602D" w14:textId="12BEDDE5" w:rsidR="00033061" w:rsidRPr="00BB4D81" w:rsidRDefault="000938DF" w:rsidP="006236F0">
            <w:pPr>
              <w:rPr>
                <w:rFonts w:asciiTheme="majorHAnsi" w:hAnsiTheme="majorHAnsi" w:cstheme="majorHAnsi"/>
              </w:rPr>
            </w:pPr>
            <w:r w:rsidRPr="00BB4D81">
              <w:rPr>
                <w:rFonts w:asciiTheme="majorHAnsi" w:hAnsiTheme="majorHAnsi" w:cstheme="majorHAnsi"/>
              </w:rPr>
              <w:t>HPRA AND OCATT (CATSALUT)</w:t>
            </w:r>
          </w:p>
        </w:tc>
      </w:tr>
      <w:tr w:rsidR="00033061" w:rsidRPr="00BB4D81" w14:paraId="3323D212" w14:textId="77777777" w:rsidTr="000D3084">
        <w:tc>
          <w:tcPr>
            <w:tcW w:w="2465" w:type="dxa"/>
            <w:tcBorders>
              <w:left w:val="nil"/>
            </w:tcBorders>
          </w:tcPr>
          <w:p w14:paraId="2FF2F119" w14:textId="77777777" w:rsidR="00033061" w:rsidRPr="00BB4D81" w:rsidRDefault="00033061" w:rsidP="000D3084">
            <w:pPr>
              <w:rPr>
                <w:rFonts w:asciiTheme="majorHAnsi" w:hAnsiTheme="majorHAnsi" w:cstheme="majorHAnsi"/>
              </w:rPr>
            </w:pPr>
            <w:r w:rsidRPr="00BB4D81">
              <w:rPr>
                <w:rFonts w:asciiTheme="majorHAnsi" w:hAnsiTheme="majorHAnsi" w:cstheme="majorHAnsi"/>
              </w:rPr>
              <w:t>Dissemination level:</w:t>
            </w:r>
          </w:p>
        </w:tc>
        <w:tc>
          <w:tcPr>
            <w:tcW w:w="6895" w:type="dxa"/>
            <w:tcBorders>
              <w:right w:val="nil"/>
            </w:tcBorders>
          </w:tcPr>
          <w:p w14:paraId="16180927" w14:textId="77777777" w:rsidR="00033061" w:rsidRPr="00BB4D81" w:rsidRDefault="008F1182" w:rsidP="000D3084">
            <w:pPr>
              <w:rPr>
                <w:rFonts w:asciiTheme="majorHAnsi" w:hAnsiTheme="majorHAnsi" w:cstheme="majorHAnsi"/>
              </w:rPr>
            </w:pPr>
            <w:r w:rsidRPr="00BB4D81">
              <w:rPr>
                <w:rFonts w:asciiTheme="majorHAnsi" w:hAnsiTheme="majorHAnsi" w:cstheme="majorHAnsi"/>
              </w:rPr>
              <w:t>Draft</w:t>
            </w:r>
            <w:r w:rsidR="004116B0" w:rsidRPr="00BB4D81">
              <w:rPr>
                <w:rFonts w:asciiTheme="majorHAnsi" w:hAnsiTheme="majorHAnsi" w:cstheme="majorHAnsi"/>
              </w:rPr>
              <w:t xml:space="preserve"> of a public report</w:t>
            </w:r>
          </w:p>
        </w:tc>
      </w:tr>
      <w:tr w:rsidR="00B70A18" w:rsidRPr="00BB4D81" w14:paraId="438A2AAD" w14:textId="77777777" w:rsidTr="000D3084">
        <w:tc>
          <w:tcPr>
            <w:tcW w:w="2465" w:type="dxa"/>
            <w:tcBorders>
              <w:left w:val="nil"/>
            </w:tcBorders>
          </w:tcPr>
          <w:p w14:paraId="003EB929" w14:textId="77777777" w:rsidR="00B70A18" w:rsidRPr="00BB4D81" w:rsidRDefault="00B70A18" w:rsidP="000D3084">
            <w:pPr>
              <w:rPr>
                <w:rFonts w:asciiTheme="majorHAnsi" w:hAnsiTheme="majorHAnsi" w:cstheme="majorHAnsi"/>
              </w:rPr>
            </w:pPr>
          </w:p>
        </w:tc>
        <w:tc>
          <w:tcPr>
            <w:tcW w:w="6895" w:type="dxa"/>
            <w:tcBorders>
              <w:right w:val="nil"/>
            </w:tcBorders>
          </w:tcPr>
          <w:p w14:paraId="01520B5A" w14:textId="77777777" w:rsidR="00B70A18" w:rsidRPr="00BB4D81" w:rsidRDefault="00B70A18" w:rsidP="000D3084">
            <w:pPr>
              <w:rPr>
                <w:rFonts w:asciiTheme="majorHAnsi" w:hAnsiTheme="majorHAnsi" w:cstheme="majorHAnsi"/>
              </w:rPr>
            </w:pPr>
          </w:p>
        </w:tc>
      </w:tr>
    </w:tbl>
    <w:sdt>
      <w:sdtPr>
        <w:rPr>
          <w:rFonts w:asciiTheme="minorHAnsi" w:eastAsiaTheme="minorEastAsia" w:hAnsiTheme="minorHAnsi" w:cstheme="minorBidi"/>
          <w:color w:val="auto"/>
          <w:sz w:val="21"/>
          <w:szCs w:val="21"/>
        </w:rPr>
        <w:id w:val="-1187047988"/>
        <w:docPartObj>
          <w:docPartGallery w:val="Table of Contents"/>
          <w:docPartUnique/>
        </w:docPartObj>
      </w:sdtPr>
      <w:sdtEndPr>
        <w:rPr>
          <w:b/>
          <w:bCs/>
        </w:rPr>
      </w:sdtEndPr>
      <w:sdtContent>
        <w:p w14:paraId="15EB6677" w14:textId="0C2E896E" w:rsidR="005E45F5" w:rsidRPr="00BB4D81" w:rsidRDefault="00960BBA">
          <w:pPr>
            <w:pStyle w:val="TOCHeading"/>
            <w:rPr>
              <w:rStyle w:val="Heading1Char"/>
            </w:rPr>
          </w:pPr>
          <w:r w:rsidRPr="00BB4D81">
            <w:rPr>
              <w:rStyle w:val="Heading1Char"/>
            </w:rPr>
            <w:t>Contents</w:t>
          </w:r>
        </w:p>
        <w:p w14:paraId="08D34E51" w14:textId="77777777" w:rsidR="006B1A80" w:rsidRDefault="005E45F5">
          <w:pPr>
            <w:pStyle w:val="TOC1"/>
            <w:tabs>
              <w:tab w:val="right" w:leader="dot" w:pos="9350"/>
            </w:tabs>
            <w:rPr>
              <w:noProof/>
              <w:sz w:val="22"/>
              <w:szCs w:val="22"/>
              <w:lang w:val="ca-ES" w:eastAsia="ca-ES"/>
            </w:rPr>
          </w:pPr>
          <w:r w:rsidRPr="00BB4D81">
            <w:fldChar w:fldCharType="begin"/>
          </w:r>
          <w:r w:rsidRPr="00BB4D81">
            <w:instrText xml:space="preserve"> TOC \o "1-3" \h \z \u </w:instrText>
          </w:r>
          <w:r w:rsidRPr="00BB4D81">
            <w:fldChar w:fldCharType="separate"/>
          </w:r>
          <w:hyperlink w:anchor="_Toc48388668" w:history="1">
            <w:r w:rsidR="006B1A80" w:rsidRPr="00033AB9">
              <w:rPr>
                <w:rStyle w:val="Hyperlink"/>
                <w:rFonts w:eastAsia="Times New Roman"/>
                <w:noProof/>
                <w:lang w:eastAsia="en-US"/>
              </w:rPr>
              <w:t>Background</w:t>
            </w:r>
            <w:r w:rsidR="006B1A80">
              <w:rPr>
                <w:noProof/>
                <w:webHidden/>
              </w:rPr>
              <w:tab/>
            </w:r>
            <w:r w:rsidR="006B1A80">
              <w:rPr>
                <w:noProof/>
                <w:webHidden/>
              </w:rPr>
              <w:fldChar w:fldCharType="begin"/>
            </w:r>
            <w:r w:rsidR="006B1A80">
              <w:rPr>
                <w:noProof/>
                <w:webHidden/>
              </w:rPr>
              <w:instrText xml:space="preserve"> PAGEREF _Toc48388668 \h </w:instrText>
            </w:r>
            <w:r w:rsidR="006B1A80">
              <w:rPr>
                <w:noProof/>
                <w:webHidden/>
              </w:rPr>
            </w:r>
            <w:r w:rsidR="006B1A80">
              <w:rPr>
                <w:noProof/>
                <w:webHidden/>
              </w:rPr>
              <w:fldChar w:fldCharType="separate"/>
            </w:r>
            <w:r w:rsidR="006B1A80">
              <w:rPr>
                <w:noProof/>
                <w:webHidden/>
              </w:rPr>
              <w:t>2</w:t>
            </w:r>
            <w:r w:rsidR="006B1A80">
              <w:rPr>
                <w:noProof/>
                <w:webHidden/>
              </w:rPr>
              <w:fldChar w:fldCharType="end"/>
            </w:r>
          </w:hyperlink>
        </w:p>
        <w:p w14:paraId="2D701C32" w14:textId="77777777" w:rsidR="006B1A80" w:rsidRDefault="00F76523">
          <w:pPr>
            <w:pStyle w:val="TOC1"/>
            <w:tabs>
              <w:tab w:val="right" w:leader="dot" w:pos="9350"/>
            </w:tabs>
            <w:rPr>
              <w:noProof/>
              <w:sz w:val="22"/>
              <w:szCs w:val="22"/>
              <w:lang w:val="ca-ES" w:eastAsia="ca-ES"/>
            </w:rPr>
          </w:pPr>
          <w:hyperlink w:anchor="_Toc48388669" w:history="1">
            <w:r w:rsidR="006B1A80" w:rsidRPr="00033AB9">
              <w:rPr>
                <w:rStyle w:val="Hyperlink"/>
                <w:rFonts w:eastAsia="Times New Roman"/>
                <w:noProof/>
                <w:lang w:eastAsia="en-US"/>
              </w:rPr>
              <w:t>Introduction</w:t>
            </w:r>
            <w:r w:rsidR="006B1A80">
              <w:rPr>
                <w:noProof/>
                <w:webHidden/>
              </w:rPr>
              <w:tab/>
            </w:r>
            <w:r w:rsidR="006B1A80">
              <w:rPr>
                <w:noProof/>
                <w:webHidden/>
              </w:rPr>
              <w:fldChar w:fldCharType="begin"/>
            </w:r>
            <w:r w:rsidR="006B1A80">
              <w:rPr>
                <w:noProof/>
                <w:webHidden/>
              </w:rPr>
              <w:instrText xml:space="preserve"> PAGEREF _Toc48388669 \h </w:instrText>
            </w:r>
            <w:r w:rsidR="006B1A80">
              <w:rPr>
                <w:noProof/>
                <w:webHidden/>
              </w:rPr>
            </w:r>
            <w:r w:rsidR="006B1A80">
              <w:rPr>
                <w:noProof/>
                <w:webHidden/>
              </w:rPr>
              <w:fldChar w:fldCharType="separate"/>
            </w:r>
            <w:r w:rsidR="006B1A80">
              <w:rPr>
                <w:noProof/>
                <w:webHidden/>
              </w:rPr>
              <w:t>3</w:t>
            </w:r>
            <w:r w:rsidR="006B1A80">
              <w:rPr>
                <w:noProof/>
                <w:webHidden/>
              </w:rPr>
              <w:fldChar w:fldCharType="end"/>
            </w:r>
          </w:hyperlink>
        </w:p>
        <w:p w14:paraId="40F6686E" w14:textId="77777777" w:rsidR="006B1A80" w:rsidRDefault="00F76523">
          <w:pPr>
            <w:pStyle w:val="TOC1"/>
            <w:tabs>
              <w:tab w:val="right" w:leader="dot" w:pos="9350"/>
            </w:tabs>
            <w:rPr>
              <w:noProof/>
              <w:sz w:val="22"/>
              <w:szCs w:val="22"/>
              <w:lang w:val="ca-ES" w:eastAsia="ca-ES"/>
            </w:rPr>
          </w:pPr>
          <w:hyperlink w:anchor="_Toc48388670" w:history="1">
            <w:r w:rsidR="006B1A80" w:rsidRPr="00033AB9">
              <w:rPr>
                <w:rStyle w:val="Hyperlink"/>
                <w:rFonts w:eastAsia="Times New Roman"/>
                <w:noProof/>
                <w:lang w:eastAsia="en-US"/>
              </w:rPr>
              <w:t>I. Survey</w:t>
            </w:r>
            <w:r w:rsidR="006B1A80">
              <w:rPr>
                <w:noProof/>
                <w:webHidden/>
              </w:rPr>
              <w:tab/>
            </w:r>
            <w:r w:rsidR="006B1A80">
              <w:rPr>
                <w:noProof/>
                <w:webHidden/>
              </w:rPr>
              <w:fldChar w:fldCharType="begin"/>
            </w:r>
            <w:r w:rsidR="006B1A80">
              <w:rPr>
                <w:noProof/>
                <w:webHidden/>
              </w:rPr>
              <w:instrText xml:space="preserve"> PAGEREF _Toc48388670 \h </w:instrText>
            </w:r>
            <w:r w:rsidR="006B1A80">
              <w:rPr>
                <w:noProof/>
                <w:webHidden/>
              </w:rPr>
            </w:r>
            <w:r w:rsidR="006B1A80">
              <w:rPr>
                <w:noProof/>
                <w:webHidden/>
              </w:rPr>
              <w:fldChar w:fldCharType="separate"/>
            </w:r>
            <w:r w:rsidR="006B1A80">
              <w:rPr>
                <w:noProof/>
                <w:webHidden/>
              </w:rPr>
              <w:t>4</w:t>
            </w:r>
            <w:r w:rsidR="006B1A80">
              <w:rPr>
                <w:noProof/>
                <w:webHidden/>
              </w:rPr>
              <w:fldChar w:fldCharType="end"/>
            </w:r>
          </w:hyperlink>
        </w:p>
        <w:p w14:paraId="48111BA0" w14:textId="77777777" w:rsidR="006B1A80" w:rsidRDefault="00F76523">
          <w:pPr>
            <w:pStyle w:val="TOC1"/>
            <w:tabs>
              <w:tab w:val="right" w:leader="dot" w:pos="9350"/>
            </w:tabs>
            <w:rPr>
              <w:noProof/>
              <w:sz w:val="22"/>
              <w:szCs w:val="22"/>
              <w:lang w:val="ca-ES" w:eastAsia="ca-ES"/>
            </w:rPr>
          </w:pPr>
          <w:hyperlink w:anchor="_Toc48388671" w:history="1">
            <w:r w:rsidR="006B1A80" w:rsidRPr="00033AB9">
              <w:rPr>
                <w:rStyle w:val="Hyperlink"/>
                <w:rFonts w:eastAsia="Times New Roman"/>
                <w:noProof/>
                <w:lang w:eastAsia="en-US"/>
              </w:rPr>
              <w:t>II. Desk-Based Review</w:t>
            </w:r>
            <w:r w:rsidR="006B1A80">
              <w:rPr>
                <w:noProof/>
                <w:webHidden/>
              </w:rPr>
              <w:tab/>
            </w:r>
            <w:r w:rsidR="006B1A80">
              <w:rPr>
                <w:noProof/>
                <w:webHidden/>
              </w:rPr>
              <w:fldChar w:fldCharType="begin"/>
            </w:r>
            <w:r w:rsidR="006B1A80">
              <w:rPr>
                <w:noProof/>
                <w:webHidden/>
              </w:rPr>
              <w:instrText xml:space="preserve"> PAGEREF _Toc48388671 \h </w:instrText>
            </w:r>
            <w:r w:rsidR="006B1A80">
              <w:rPr>
                <w:noProof/>
                <w:webHidden/>
              </w:rPr>
            </w:r>
            <w:r w:rsidR="006B1A80">
              <w:rPr>
                <w:noProof/>
                <w:webHidden/>
              </w:rPr>
              <w:fldChar w:fldCharType="separate"/>
            </w:r>
            <w:r w:rsidR="006B1A80">
              <w:rPr>
                <w:noProof/>
                <w:webHidden/>
              </w:rPr>
              <w:t>5</w:t>
            </w:r>
            <w:r w:rsidR="006B1A80">
              <w:rPr>
                <w:noProof/>
                <w:webHidden/>
              </w:rPr>
              <w:fldChar w:fldCharType="end"/>
            </w:r>
          </w:hyperlink>
        </w:p>
        <w:p w14:paraId="535DB6E5" w14:textId="77777777" w:rsidR="006B1A80" w:rsidRDefault="00F76523">
          <w:pPr>
            <w:pStyle w:val="TOC1"/>
            <w:tabs>
              <w:tab w:val="right" w:leader="dot" w:pos="9350"/>
            </w:tabs>
            <w:rPr>
              <w:noProof/>
              <w:sz w:val="22"/>
              <w:szCs w:val="22"/>
              <w:lang w:val="ca-ES" w:eastAsia="ca-ES"/>
            </w:rPr>
          </w:pPr>
          <w:hyperlink w:anchor="_Toc48388672" w:history="1">
            <w:r w:rsidR="006B1A80" w:rsidRPr="00033AB9">
              <w:rPr>
                <w:rStyle w:val="Hyperlink"/>
                <w:rFonts w:eastAsia="Times New Roman"/>
                <w:noProof/>
                <w:lang w:eastAsia="en-US"/>
              </w:rPr>
              <w:t>III. Multi-Country Workshop</w:t>
            </w:r>
            <w:r w:rsidR="006B1A80">
              <w:rPr>
                <w:noProof/>
                <w:webHidden/>
              </w:rPr>
              <w:tab/>
            </w:r>
            <w:r w:rsidR="006B1A80">
              <w:rPr>
                <w:noProof/>
                <w:webHidden/>
              </w:rPr>
              <w:fldChar w:fldCharType="begin"/>
            </w:r>
            <w:r w:rsidR="006B1A80">
              <w:rPr>
                <w:noProof/>
                <w:webHidden/>
              </w:rPr>
              <w:instrText xml:space="preserve"> PAGEREF _Toc48388672 \h </w:instrText>
            </w:r>
            <w:r w:rsidR="006B1A80">
              <w:rPr>
                <w:noProof/>
                <w:webHidden/>
              </w:rPr>
            </w:r>
            <w:r w:rsidR="006B1A80">
              <w:rPr>
                <w:noProof/>
                <w:webHidden/>
              </w:rPr>
              <w:fldChar w:fldCharType="separate"/>
            </w:r>
            <w:r w:rsidR="006B1A80">
              <w:rPr>
                <w:noProof/>
                <w:webHidden/>
              </w:rPr>
              <w:t>8</w:t>
            </w:r>
            <w:r w:rsidR="006B1A80">
              <w:rPr>
                <w:noProof/>
                <w:webHidden/>
              </w:rPr>
              <w:fldChar w:fldCharType="end"/>
            </w:r>
          </w:hyperlink>
        </w:p>
        <w:p w14:paraId="4D3E4D00" w14:textId="77777777" w:rsidR="006B1A80" w:rsidRDefault="00F76523">
          <w:pPr>
            <w:pStyle w:val="TOC2"/>
            <w:tabs>
              <w:tab w:val="left" w:pos="660"/>
              <w:tab w:val="right" w:leader="dot" w:pos="9350"/>
            </w:tabs>
            <w:rPr>
              <w:noProof/>
              <w:sz w:val="22"/>
              <w:szCs w:val="22"/>
              <w:lang w:val="ca-ES" w:eastAsia="ca-ES"/>
            </w:rPr>
          </w:pPr>
          <w:hyperlink w:anchor="_Toc48388673" w:history="1">
            <w:r w:rsidR="006B1A80" w:rsidRPr="00033AB9">
              <w:rPr>
                <w:rStyle w:val="Hyperlink"/>
                <w:rFonts w:eastAsia="Times New Roman"/>
                <w:b/>
                <w:noProof/>
                <w:lang w:eastAsia="en-US"/>
              </w:rPr>
              <w:t>1.</w:t>
            </w:r>
            <w:r w:rsidR="006B1A80">
              <w:rPr>
                <w:noProof/>
                <w:sz w:val="22"/>
                <w:szCs w:val="22"/>
                <w:lang w:val="ca-ES" w:eastAsia="ca-ES"/>
              </w:rPr>
              <w:tab/>
            </w:r>
            <w:r w:rsidR="006B1A80" w:rsidRPr="00033AB9">
              <w:rPr>
                <w:rStyle w:val="Hyperlink"/>
                <w:rFonts w:eastAsia="Times New Roman"/>
                <w:b/>
                <w:noProof/>
                <w:lang w:eastAsia="en-US"/>
              </w:rPr>
              <w:t>Part A - Risk Assessment</w:t>
            </w:r>
            <w:r w:rsidR="006B1A80">
              <w:rPr>
                <w:noProof/>
                <w:webHidden/>
              </w:rPr>
              <w:tab/>
            </w:r>
            <w:r w:rsidR="006B1A80">
              <w:rPr>
                <w:noProof/>
                <w:webHidden/>
              </w:rPr>
              <w:fldChar w:fldCharType="begin"/>
            </w:r>
            <w:r w:rsidR="006B1A80">
              <w:rPr>
                <w:noProof/>
                <w:webHidden/>
              </w:rPr>
              <w:instrText xml:space="preserve"> PAGEREF _Toc48388673 \h </w:instrText>
            </w:r>
            <w:r w:rsidR="006B1A80">
              <w:rPr>
                <w:noProof/>
                <w:webHidden/>
              </w:rPr>
            </w:r>
            <w:r w:rsidR="006B1A80">
              <w:rPr>
                <w:noProof/>
                <w:webHidden/>
              </w:rPr>
              <w:fldChar w:fldCharType="separate"/>
            </w:r>
            <w:r w:rsidR="006B1A80">
              <w:rPr>
                <w:noProof/>
                <w:webHidden/>
              </w:rPr>
              <w:t>9</w:t>
            </w:r>
            <w:r w:rsidR="006B1A80">
              <w:rPr>
                <w:noProof/>
                <w:webHidden/>
              </w:rPr>
              <w:fldChar w:fldCharType="end"/>
            </w:r>
          </w:hyperlink>
        </w:p>
        <w:p w14:paraId="6A1CE2B9" w14:textId="77777777" w:rsidR="006B1A80" w:rsidRDefault="00F76523">
          <w:pPr>
            <w:pStyle w:val="TOC3"/>
            <w:tabs>
              <w:tab w:val="right" w:leader="dot" w:pos="9350"/>
            </w:tabs>
            <w:rPr>
              <w:noProof/>
              <w:sz w:val="22"/>
              <w:szCs w:val="22"/>
              <w:lang w:val="ca-ES" w:eastAsia="ca-ES"/>
            </w:rPr>
          </w:pPr>
          <w:hyperlink w:anchor="_Toc48388674" w:history="1">
            <w:r w:rsidR="006B1A80" w:rsidRPr="00033AB9">
              <w:rPr>
                <w:rStyle w:val="Hyperlink"/>
                <w:rFonts w:eastAsia="Times New Roman"/>
                <w:b/>
                <w:noProof/>
                <w:lang w:eastAsia="en-US"/>
              </w:rPr>
              <w:t>New / Novel Processes</w:t>
            </w:r>
            <w:r w:rsidR="006B1A80">
              <w:rPr>
                <w:noProof/>
                <w:webHidden/>
              </w:rPr>
              <w:tab/>
            </w:r>
            <w:r w:rsidR="006B1A80">
              <w:rPr>
                <w:noProof/>
                <w:webHidden/>
              </w:rPr>
              <w:fldChar w:fldCharType="begin"/>
            </w:r>
            <w:r w:rsidR="006B1A80">
              <w:rPr>
                <w:noProof/>
                <w:webHidden/>
              </w:rPr>
              <w:instrText xml:space="preserve"> PAGEREF _Toc48388674 \h </w:instrText>
            </w:r>
            <w:r w:rsidR="006B1A80">
              <w:rPr>
                <w:noProof/>
                <w:webHidden/>
              </w:rPr>
            </w:r>
            <w:r w:rsidR="006B1A80">
              <w:rPr>
                <w:noProof/>
                <w:webHidden/>
              </w:rPr>
              <w:fldChar w:fldCharType="separate"/>
            </w:r>
            <w:r w:rsidR="006B1A80">
              <w:rPr>
                <w:noProof/>
                <w:webHidden/>
              </w:rPr>
              <w:t>18</w:t>
            </w:r>
            <w:r w:rsidR="006B1A80">
              <w:rPr>
                <w:noProof/>
                <w:webHidden/>
              </w:rPr>
              <w:fldChar w:fldCharType="end"/>
            </w:r>
          </w:hyperlink>
        </w:p>
        <w:p w14:paraId="7132B85C" w14:textId="77777777" w:rsidR="006B1A80" w:rsidRDefault="00F76523">
          <w:pPr>
            <w:pStyle w:val="TOC2"/>
            <w:tabs>
              <w:tab w:val="left" w:pos="660"/>
              <w:tab w:val="right" w:leader="dot" w:pos="9350"/>
            </w:tabs>
            <w:rPr>
              <w:noProof/>
              <w:sz w:val="22"/>
              <w:szCs w:val="22"/>
              <w:lang w:val="ca-ES" w:eastAsia="ca-ES"/>
            </w:rPr>
          </w:pPr>
          <w:hyperlink w:anchor="_Toc48388675" w:history="1">
            <w:r w:rsidR="006B1A80" w:rsidRPr="00033AB9">
              <w:rPr>
                <w:rStyle w:val="Hyperlink"/>
                <w:rFonts w:eastAsia="Times New Roman"/>
                <w:b/>
                <w:noProof/>
                <w:lang w:eastAsia="en-US"/>
              </w:rPr>
              <w:t>2.</w:t>
            </w:r>
            <w:r w:rsidR="006B1A80">
              <w:rPr>
                <w:noProof/>
                <w:sz w:val="22"/>
                <w:szCs w:val="22"/>
                <w:lang w:val="ca-ES" w:eastAsia="ca-ES"/>
              </w:rPr>
              <w:tab/>
            </w:r>
            <w:r w:rsidR="006B1A80" w:rsidRPr="00033AB9">
              <w:rPr>
                <w:rStyle w:val="Hyperlink"/>
                <w:rFonts w:eastAsia="Times New Roman"/>
                <w:b/>
                <w:noProof/>
                <w:lang w:eastAsia="en-US"/>
              </w:rPr>
              <w:t>Part B - Application Process</w:t>
            </w:r>
            <w:r w:rsidR="006B1A80">
              <w:rPr>
                <w:noProof/>
                <w:webHidden/>
              </w:rPr>
              <w:tab/>
            </w:r>
            <w:r w:rsidR="006B1A80">
              <w:rPr>
                <w:noProof/>
                <w:webHidden/>
              </w:rPr>
              <w:fldChar w:fldCharType="begin"/>
            </w:r>
            <w:r w:rsidR="006B1A80">
              <w:rPr>
                <w:noProof/>
                <w:webHidden/>
              </w:rPr>
              <w:instrText xml:space="preserve"> PAGEREF _Toc48388675 \h </w:instrText>
            </w:r>
            <w:r w:rsidR="006B1A80">
              <w:rPr>
                <w:noProof/>
                <w:webHidden/>
              </w:rPr>
            </w:r>
            <w:r w:rsidR="006B1A80">
              <w:rPr>
                <w:noProof/>
                <w:webHidden/>
              </w:rPr>
              <w:fldChar w:fldCharType="separate"/>
            </w:r>
            <w:r w:rsidR="006B1A80">
              <w:rPr>
                <w:noProof/>
                <w:webHidden/>
              </w:rPr>
              <w:t>20</w:t>
            </w:r>
            <w:r w:rsidR="006B1A80">
              <w:rPr>
                <w:noProof/>
                <w:webHidden/>
              </w:rPr>
              <w:fldChar w:fldCharType="end"/>
            </w:r>
          </w:hyperlink>
        </w:p>
        <w:p w14:paraId="41D78381" w14:textId="77777777" w:rsidR="006B1A80" w:rsidRDefault="00F76523">
          <w:pPr>
            <w:pStyle w:val="TOC3"/>
            <w:tabs>
              <w:tab w:val="right" w:leader="dot" w:pos="9350"/>
            </w:tabs>
            <w:rPr>
              <w:noProof/>
              <w:sz w:val="22"/>
              <w:szCs w:val="22"/>
              <w:lang w:val="ca-ES" w:eastAsia="ca-ES"/>
            </w:rPr>
          </w:pPr>
          <w:hyperlink w:anchor="_Toc48388676" w:history="1">
            <w:r w:rsidR="006B1A80" w:rsidRPr="00033AB9">
              <w:rPr>
                <w:rStyle w:val="Hyperlink"/>
                <w:rFonts w:eastAsia="Times New Roman"/>
                <w:b/>
                <w:noProof/>
                <w:lang w:eastAsia="en-US"/>
              </w:rPr>
              <w:t>Changes to existing processes (variations)</w:t>
            </w:r>
            <w:r w:rsidR="006B1A80">
              <w:rPr>
                <w:noProof/>
                <w:webHidden/>
              </w:rPr>
              <w:tab/>
            </w:r>
            <w:r w:rsidR="006B1A80">
              <w:rPr>
                <w:noProof/>
                <w:webHidden/>
              </w:rPr>
              <w:fldChar w:fldCharType="begin"/>
            </w:r>
            <w:r w:rsidR="006B1A80">
              <w:rPr>
                <w:noProof/>
                <w:webHidden/>
              </w:rPr>
              <w:instrText xml:space="preserve"> PAGEREF _Toc48388676 \h </w:instrText>
            </w:r>
            <w:r w:rsidR="006B1A80">
              <w:rPr>
                <w:noProof/>
                <w:webHidden/>
              </w:rPr>
            </w:r>
            <w:r w:rsidR="006B1A80">
              <w:rPr>
                <w:noProof/>
                <w:webHidden/>
              </w:rPr>
              <w:fldChar w:fldCharType="separate"/>
            </w:r>
            <w:r w:rsidR="006B1A80">
              <w:rPr>
                <w:noProof/>
                <w:webHidden/>
              </w:rPr>
              <w:t>24</w:t>
            </w:r>
            <w:r w:rsidR="006B1A80">
              <w:rPr>
                <w:noProof/>
                <w:webHidden/>
              </w:rPr>
              <w:fldChar w:fldCharType="end"/>
            </w:r>
          </w:hyperlink>
        </w:p>
        <w:p w14:paraId="03DCBCDD" w14:textId="77777777" w:rsidR="006B1A80" w:rsidRDefault="00F76523">
          <w:pPr>
            <w:pStyle w:val="TOC2"/>
            <w:tabs>
              <w:tab w:val="left" w:pos="660"/>
              <w:tab w:val="right" w:leader="dot" w:pos="9350"/>
            </w:tabs>
            <w:rPr>
              <w:noProof/>
              <w:sz w:val="22"/>
              <w:szCs w:val="22"/>
              <w:lang w:val="ca-ES" w:eastAsia="ca-ES"/>
            </w:rPr>
          </w:pPr>
          <w:hyperlink w:anchor="_Toc48388677" w:history="1">
            <w:r w:rsidR="006B1A80" w:rsidRPr="00033AB9">
              <w:rPr>
                <w:rStyle w:val="Hyperlink"/>
                <w:rFonts w:eastAsia="Times New Roman"/>
                <w:b/>
                <w:noProof/>
                <w:lang w:eastAsia="en-US"/>
              </w:rPr>
              <w:t>3.</w:t>
            </w:r>
            <w:r w:rsidR="006B1A80">
              <w:rPr>
                <w:noProof/>
                <w:sz w:val="22"/>
                <w:szCs w:val="22"/>
                <w:lang w:val="ca-ES" w:eastAsia="ca-ES"/>
              </w:rPr>
              <w:tab/>
            </w:r>
            <w:r w:rsidR="006B1A80" w:rsidRPr="00033AB9">
              <w:rPr>
                <w:rStyle w:val="Hyperlink"/>
                <w:rFonts w:eastAsia="Times New Roman"/>
                <w:b/>
                <w:noProof/>
                <w:lang w:eastAsia="en-US"/>
              </w:rPr>
              <w:t>Part D</w:t>
            </w:r>
            <w:r w:rsidR="006B1A80">
              <w:rPr>
                <w:noProof/>
                <w:webHidden/>
              </w:rPr>
              <w:tab/>
            </w:r>
            <w:r w:rsidR="006B1A80">
              <w:rPr>
                <w:noProof/>
                <w:webHidden/>
              </w:rPr>
              <w:fldChar w:fldCharType="begin"/>
            </w:r>
            <w:r w:rsidR="006B1A80">
              <w:rPr>
                <w:noProof/>
                <w:webHidden/>
              </w:rPr>
              <w:instrText xml:space="preserve"> PAGEREF _Toc48388677 \h </w:instrText>
            </w:r>
            <w:r w:rsidR="006B1A80">
              <w:rPr>
                <w:noProof/>
                <w:webHidden/>
              </w:rPr>
            </w:r>
            <w:r w:rsidR="006B1A80">
              <w:rPr>
                <w:noProof/>
                <w:webHidden/>
              </w:rPr>
              <w:fldChar w:fldCharType="separate"/>
            </w:r>
            <w:r w:rsidR="006B1A80">
              <w:rPr>
                <w:noProof/>
                <w:webHidden/>
              </w:rPr>
              <w:t>26</w:t>
            </w:r>
            <w:r w:rsidR="006B1A80">
              <w:rPr>
                <w:noProof/>
                <w:webHidden/>
              </w:rPr>
              <w:fldChar w:fldCharType="end"/>
            </w:r>
          </w:hyperlink>
        </w:p>
        <w:p w14:paraId="46462B53" w14:textId="77777777" w:rsidR="006B1A80" w:rsidRDefault="00F76523">
          <w:pPr>
            <w:pStyle w:val="TOC3"/>
            <w:tabs>
              <w:tab w:val="right" w:leader="dot" w:pos="9350"/>
            </w:tabs>
            <w:rPr>
              <w:noProof/>
              <w:sz w:val="22"/>
              <w:szCs w:val="22"/>
              <w:lang w:val="ca-ES" w:eastAsia="ca-ES"/>
            </w:rPr>
          </w:pPr>
          <w:hyperlink w:anchor="_Toc48388678" w:history="1">
            <w:r w:rsidR="006B1A80" w:rsidRPr="00033AB9">
              <w:rPr>
                <w:rStyle w:val="Hyperlink"/>
                <w:rFonts w:eastAsia="Times New Roman"/>
                <w:b/>
                <w:noProof/>
                <w:lang w:eastAsia="en-US"/>
              </w:rPr>
              <w:t>Review and Evaluation</w:t>
            </w:r>
            <w:r w:rsidR="006B1A80">
              <w:rPr>
                <w:noProof/>
                <w:webHidden/>
              </w:rPr>
              <w:tab/>
            </w:r>
            <w:r w:rsidR="006B1A80">
              <w:rPr>
                <w:noProof/>
                <w:webHidden/>
              </w:rPr>
              <w:fldChar w:fldCharType="begin"/>
            </w:r>
            <w:r w:rsidR="006B1A80">
              <w:rPr>
                <w:noProof/>
                <w:webHidden/>
              </w:rPr>
              <w:instrText xml:space="preserve"> PAGEREF _Toc48388678 \h </w:instrText>
            </w:r>
            <w:r w:rsidR="006B1A80">
              <w:rPr>
                <w:noProof/>
                <w:webHidden/>
              </w:rPr>
            </w:r>
            <w:r w:rsidR="006B1A80">
              <w:rPr>
                <w:noProof/>
                <w:webHidden/>
              </w:rPr>
              <w:fldChar w:fldCharType="separate"/>
            </w:r>
            <w:r w:rsidR="006B1A80">
              <w:rPr>
                <w:noProof/>
                <w:webHidden/>
              </w:rPr>
              <w:t>26</w:t>
            </w:r>
            <w:r w:rsidR="006B1A80">
              <w:rPr>
                <w:noProof/>
                <w:webHidden/>
              </w:rPr>
              <w:fldChar w:fldCharType="end"/>
            </w:r>
          </w:hyperlink>
        </w:p>
        <w:p w14:paraId="0CF8DC1B" w14:textId="77777777" w:rsidR="006B1A80" w:rsidRDefault="00F76523">
          <w:pPr>
            <w:pStyle w:val="TOC3"/>
            <w:tabs>
              <w:tab w:val="right" w:leader="dot" w:pos="9350"/>
            </w:tabs>
            <w:rPr>
              <w:noProof/>
              <w:sz w:val="22"/>
              <w:szCs w:val="22"/>
              <w:lang w:val="ca-ES" w:eastAsia="ca-ES"/>
            </w:rPr>
          </w:pPr>
          <w:hyperlink w:anchor="_Toc48388679" w:history="1">
            <w:r w:rsidR="006B1A80" w:rsidRPr="00033AB9">
              <w:rPr>
                <w:rStyle w:val="Hyperlink"/>
                <w:rFonts w:eastAsia="Times New Roman"/>
                <w:b/>
                <w:noProof/>
                <w:lang w:eastAsia="en-US"/>
              </w:rPr>
              <w:t>Authorisation</w:t>
            </w:r>
            <w:r w:rsidR="006B1A80">
              <w:rPr>
                <w:noProof/>
                <w:webHidden/>
              </w:rPr>
              <w:tab/>
            </w:r>
            <w:r w:rsidR="006B1A80">
              <w:rPr>
                <w:noProof/>
                <w:webHidden/>
              </w:rPr>
              <w:fldChar w:fldCharType="begin"/>
            </w:r>
            <w:r w:rsidR="006B1A80">
              <w:rPr>
                <w:noProof/>
                <w:webHidden/>
              </w:rPr>
              <w:instrText xml:space="preserve"> PAGEREF _Toc48388679 \h </w:instrText>
            </w:r>
            <w:r w:rsidR="006B1A80">
              <w:rPr>
                <w:noProof/>
                <w:webHidden/>
              </w:rPr>
            </w:r>
            <w:r w:rsidR="006B1A80">
              <w:rPr>
                <w:noProof/>
                <w:webHidden/>
              </w:rPr>
              <w:fldChar w:fldCharType="separate"/>
            </w:r>
            <w:r w:rsidR="006B1A80">
              <w:rPr>
                <w:noProof/>
                <w:webHidden/>
              </w:rPr>
              <w:t>31</w:t>
            </w:r>
            <w:r w:rsidR="006B1A80">
              <w:rPr>
                <w:noProof/>
                <w:webHidden/>
              </w:rPr>
              <w:fldChar w:fldCharType="end"/>
            </w:r>
          </w:hyperlink>
        </w:p>
        <w:p w14:paraId="4220C031" w14:textId="77777777" w:rsidR="006B1A80" w:rsidRDefault="00F76523">
          <w:pPr>
            <w:pStyle w:val="TOC3"/>
            <w:tabs>
              <w:tab w:val="right" w:leader="dot" w:pos="9350"/>
            </w:tabs>
            <w:rPr>
              <w:noProof/>
              <w:sz w:val="22"/>
              <w:szCs w:val="22"/>
              <w:lang w:val="ca-ES" w:eastAsia="ca-ES"/>
            </w:rPr>
          </w:pPr>
          <w:hyperlink w:anchor="_Toc48388680" w:history="1">
            <w:r w:rsidR="006B1A80" w:rsidRPr="00033AB9">
              <w:rPr>
                <w:rStyle w:val="Hyperlink"/>
                <w:rFonts w:eastAsia="Times New Roman"/>
                <w:b/>
                <w:noProof/>
                <w:lang w:eastAsia="en-US"/>
              </w:rPr>
              <w:t>Conditional Authorisation</w:t>
            </w:r>
            <w:r w:rsidR="006B1A80">
              <w:rPr>
                <w:noProof/>
                <w:webHidden/>
              </w:rPr>
              <w:tab/>
            </w:r>
            <w:r w:rsidR="006B1A80">
              <w:rPr>
                <w:noProof/>
                <w:webHidden/>
              </w:rPr>
              <w:fldChar w:fldCharType="begin"/>
            </w:r>
            <w:r w:rsidR="006B1A80">
              <w:rPr>
                <w:noProof/>
                <w:webHidden/>
              </w:rPr>
              <w:instrText xml:space="preserve"> PAGEREF _Toc48388680 \h </w:instrText>
            </w:r>
            <w:r w:rsidR="006B1A80">
              <w:rPr>
                <w:noProof/>
                <w:webHidden/>
              </w:rPr>
            </w:r>
            <w:r w:rsidR="006B1A80">
              <w:rPr>
                <w:noProof/>
                <w:webHidden/>
              </w:rPr>
              <w:fldChar w:fldCharType="separate"/>
            </w:r>
            <w:r w:rsidR="006B1A80">
              <w:rPr>
                <w:noProof/>
                <w:webHidden/>
              </w:rPr>
              <w:t>33</w:t>
            </w:r>
            <w:r w:rsidR="006B1A80">
              <w:rPr>
                <w:noProof/>
                <w:webHidden/>
              </w:rPr>
              <w:fldChar w:fldCharType="end"/>
            </w:r>
          </w:hyperlink>
        </w:p>
        <w:p w14:paraId="7D79DD1B" w14:textId="77777777" w:rsidR="006B1A80" w:rsidRDefault="00F76523">
          <w:pPr>
            <w:pStyle w:val="TOC2"/>
            <w:tabs>
              <w:tab w:val="left" w:pos="660"/>
              <w:tab w:val="right" w:leader="dot" w:pos="9350"/>
            </w:tabs>
            <w:rPr>
              <w:noProof/>
              <w:sz w:val="22"/>
              <w:szCs w:val="22"/>
              <w:lang w:val="ca-ES" w:eastAsia="ca-ES"/>
            </w:rPr>
          </w:pPr>
          <w:hyperlink w:anchor="_Toc48388681" w:history="1">
            <w:r w:rsidR="006B1A80" w:rsidRPr="00033AB9">
              <w:rPr>
                <w:rStyle w:val="Hyperlink"/>
                <w:rFonts w:eastAsia="Times New Roman"/>
                <w:b/>
                <w:noProof/>
                <w:lang w:eastAsia="en-US"/>
              </w:rPr>
              <w:t>4.</w:t>
            </w:r>
            <w:r w:rsidR="006B1A80">
              <w:rPr>
                <w:noProof/>
                <w:sz w:val="22"/>
                <w:szCs w:val="22"/>
                <w:lang w:val="ca-ES" w:eastAsia="ca-ES"/>
              </w:rPr>
              <w:tab/>
            </w:r>
            <w:r w:rsidR="006B1A80" w:rsidRPr="00033AB9">
              <w:rPr>
                <w:rStyle w:val="Hyperlink"/>
                <w:rFonts w:eastAsia="Times New Roman"/>
                <w:b/>
                <w:noProof/>
                <w:lang w:eastAsia="en-US"/>
              </w:rPr>
              <w:t>Part E - Framework of Competent Authority</w:t>
            </w:r>
            <w:r w:rsidR="006B1A80">
              <w:rPr>
                <w:noProof/>
                <w:webHidden/>
              </w:rPr>
              <w:tab/>
            </w:r>
            <w:r w:rsidR="006B1A80">
              <w:rPr>
                <w:noProof/>
                <w:webHidden/>
              </w:rPr>
              <w:fldChar w:fldCharType="begin"/>
            </w:r>
            <w:r w:rsidR="006B1A80">
              <w:rPr>
                <w:noProof/>
                <w:webHidden/>
              </w:rPr>
              <w:instrText xml:space="preserve"> PAGEREF _Toc48388681 \h </w:instrText>
            </w:r>
            <w:r w:rsidR="006B1A80">
              <w:rPr>
                <w:noProof/>
                <w:webHidden/>
              </w:rPr>
            </w:r>
            <w:r w:rsidR="006B1A80">
              <w:rPr>
                <w:noProof/>
                <w:webHidden/>
              </w:rPr>
              <w:fldChar w:fldCharType="separate"/>
            </w:r>
            <w:r w:rsidR="006B1A80">
              <w:rPr>
                <w:noProof/>
                <w:webHidden/>
              </w:rPr>
              <w:t>34</w:t>
            </w:r>
            <w:r w:rsidR="006B1A80">
              <w:rPr>
                <w:noProof/>
                <w:webHidden/>
              </w:rPr>
              <w:fldChar w:fldCharType="end"/>
            </w:r>
          </w:hyperlink>
        </w:p>
        <w:p w14:paraId="472455AF" w14:textId="77777777" w:rsidR="006B1A80" w:rsidRDefault="00F76523">
          <w:pPr>
            <w:pStyle w:val="TOC1"/>
            <w:tabs>
              <w:tab w:val="right" w:leader="dot" w:pos="9350"/>
            </w:tabs>
            <w:rPr>
              <w:noProof/>
              <w:sz w:val="22"/>
              <w:szCs w:val="22"/>
              <w:lang w:val="ca-ES" w:eastAsia="ca-ES"/>
            </w:rPr>
          </w:pPr>
          <w:hyperlink w:anchor="_Toc48388682" w:history="1">
            <w:r w:rsidR="006B1A80" w:rsidRPr="00033AB9">
              <w:rPr>
                <w:rStyle w:val="Hyperlink"/>
                <w:rFonts w:eastAsia="Times New Roman"/>
                <w:b/>
                <w:noProof/>
                <w:lang w:eastAsia="en-US"/>
              </w:rPr>
              <w:t>IV. Discussion and conclusions</w:t>
            </w:r>
            <w:r w:rsidR="006B1A80">
              <w:rPr>
                <w:noProof/>
                <w:webHidden/>
              </w:rPr>
              <w:tab/>
            </w:r>
            <w:r w:rsidR="006B1A80">
              <w:rPr>
                <w:noProof/>
                <w:webHidden/>
              </w:rPr>
              <w:fldChar w:fldCharType="begin"/>
            </w:r>
            <w:r w:rsidR="006B1A80">
              <w:rPr>
                <w:noProof/>
                <w:webHidden/>
              </w:rPr>
              <w:instrText xml:space="preserve"> PAGEREF _Toc48388682 \h </w:instrText>
            </w:r>
            <w:r w:rsidR="006B1A80">
              <w:rPr>
                <w:noProof/>
                <w:webHidden/>
              </w:rPr>
            </w:r>
            <w:r w:rsidR="006B1A80">
              <w:rPr>
                <w:noProof/>
                <w:webHidden/>
              </w:rPr>
              <w:fldChar w:fldCharType="separate"/>
            </w:r>
            <w:r w:rsidR="006B1A80">
              <w:rPr>
                <w:noProof/>
                <w:webHidden/>
              </w:rPr>
              <w:t>39</w:t>
            </w:r>
            <w:r w:rsidR="006B1A80">
              <w:rPr>
                <w:noProof/>
                <w:webHidden/>
              </w:rPr>
              <w:fldChar w:fldCharType="end"/>
            </w:r>
          </w:hyperlink>
        </w:p>
        <w:p w14:paraId="57F80499" w14:textId="77777777" w:rsidR="006B1A80" w:rsidRDefault="00F76523">
          <w:pPr>
            <w:pStyle w:val="TOC3"/>
            <w:tabs>
              <w:tab w:val="right" w:leader="dot" w:pos="9350"/>
            </w:tabs>
            <w:rPr>
              <w:noProof/>
              <w:sz w:val="22"/>
              <w:szCs w:val="22"/>
              <w:lang w:val="ca-ES" w:eastAsia="ca-ES"/>
            </w:rPr>
          </w:pPr>
          <w:hyperlink w:anchor="_Toc48388683" w:history="1">
            <w:r w:rsidR="006B1A80" w:rsidRPr="00033AB9">
              <w:rPr>
                <w:rStyle w:val="Hyperlink"/>
                <w:rFonts w:eastAsia="Times New Roman"/>
                <w:b/>
                <w:noProof/>
                <w:lang w:eastAsia="en-US"/>
              </w:rPr>
              <w:t>Appendix 1 – GAPP Work Package 5 Survey Results:</w:t>
            </w:r>
            <w:r w:rsidR="006B1A80">
              <w:rPr>
                <w:noProof/>
                <w:webHidden/>
              </w:rPr>
              <w:tab/>
            </w:r>
            <w:r w:rsidR="006B1A80">
              <w:rPr>
                <w:noProof/>
                <w:webHidden/>
              </w:rPr>
              <w:fldChar w:fldCharType="begin"/>
            </w:r>
            <w:r w:rsidR="006B1A80">
              <w:rPr>
                <w:noProof/>
                <w:webHidden/>
              </w:rPr>
              <w:instrText xml:space="preserve"> PAGEREF _Toc48388683 \h </w:instrText>
            </w:r>
            <w:r w:rsidR="006B1A80">
              <w:rPr>
                <w:noProof/>
                <w:webHidden/>
              </w:rPr>
            </w:r>
            <w:r w:rsidR="006B1A80">
              <w:rPr>
                <w:noProof/>
                <w:webHidden/>
              </w:rPr>
              <w:fldChar w:fldCharType="separate"/>
            </w:r>
            <w:r w:rsidR="006B1A80">
              <w:rPr>
                <w:noProof/>
                <w:webHidden/>
              </w:rPr>
              <w:t>42</w:t>
            </w:r>
            <w:r w:rsidR="006B1A80">
              <w:rPr>
                <w:noProof/>
                <w:webHidden/>
              </w:rPr>
              <w:fldChar w:fldCharType="end"/>
            </w:r>
          </w:hyperlink>
        </w:p>
        <w:p w14:paraId="60D53C3E" w14:textId="77777777" w:rsidR="006B1A80" w:rsidRDefault="00F76523">
          <w:pPr>
            <w:pStyle w:val="TOC3"/>
            <w:tabs>
              <w:tab w:val="right" w:leader="dot" w:pos="9350"/>
            </w:tabs>
            <w:rPr>
              <w:noProof/>
              <w:sz w:val="22"/>
              <w:szCs w:val="22"/>
              <w:lang w:val="ca-ES" w:eastAsia="ca-ES"/>
            </w:rPr>
          </w:pPr>
          <w:hyperlink w:anchor="_Toc48388684" w:history="1">
            <w:r w:rsidR="006B1A80" w:rsidRPr="00033AB9">
              <w:rPr>
                <w:rStyle w:val="Hyperlink"/>
                <w:rFonts w:eastAsia="Times New Roman"/>
                <w:b/>
                <w:noProof/>
                <w:lang w:eastAsia="en-US"/>
              </w:rPr>
              <w:t>Appendix 2 - Bibliography</w:t>
            </w:r>
            <w:r w:rsidR="006B1A80">
              <w:rPr>
                <w:noProof/>
                <w:webHidden/>
              </w:rPr>
              <w:tab/>
            </w:r>
            <w:r w:rsidR="006B1A80">
              <w:rPr>
                <w:noProof/>
                <w:webHidden/>
              </w:rPr>
              <w:fldChar w:fldCharType="begin"/>
            </w:r>
            <w:r w:rsidR="006B1A80">
              <w:rPr>
                <w:noProof/>
                <w:webHidden/>
              </w:rPr>
              <w:instrText xml:space="preserve"> PAGEREF _Toc48388684 \h </w:instrText>
            </w:r>
            <w:r w:rsidR="006B1A80">
              <w:rPr>
                <w:noProof/>
                <w:webHidden/>
              </w:rPr>
            </w:r>
            <w:r w:rsidR="006B1A80">
              <w:rPr>
                <w:noProof/>
                <w:webHidden/>
              </w:rPr>
              <w:fldChar w:fldCharType="separate"/>
            </w:r>
            <w:r w:rsidR="006B1A80">
              <w:rPr>
                <w:noProof/>
                <w:webHidden/>
              </w:rPr>
              <w:t>51</w:t>
            </w:r>
            <w:r w:rsidR="006B1A80">
              <w:rPr>
                <w:noProof/>
                <w:webHidden/>
              </w:rPr>
              <w:fldChar w:fldCharType="end"/>
            </w:r>
          </w:hyperlink>
        </w:p>
        <w:p w14:paraId="6F750E7B" w14:textId="77777777" w:rsidR="006B1A80" w:rsidRDefault="00F76523">
          <w:pPr>
            <w:pStyle w:val="TOC3"/>
            <w:tabs>
              <w:tab w:val="right" w:leader="dot" w:pos="9350"/>
            </w:tabs>
            <w:rPr>
              <w:noProof/>
              <w:sz w:val="22"/>
              <w:szCs w:val="22"/>
              <w:lang w:val="ca-ES" w:eastAsia="ca-ES"/>
            </w:rPr>
          </w:pPr>
          <w:hyperlink w:anchor="_Toc48388685" w:history="1">
            <w:r w:rsidR="006B1A80" w:rsidRPr="00033AB9">
              <w:rPr>
                <w:rStyle w:val="Hyperlink"/>
                <w:rFonts w:eastAsia="Times New Roman"/>
                <w:b/>
                <w:noProof/>
                <w:lang w:eastAsia="en-US"/>
              </w:rPr>
              <w:t>Appendix 3 Acronyms</w:t>
            </w:r>
            <w:r w:rsidR="006B1A80">
              <w:rPr>
                <w:noProof/>
                <w:webHidden/>
              </w:rPr>
              <w:tab/>
            </w:r>
            <w:r w:rsidR="006B1A80">
              <w:rPr>
                <w:noProof/>
                <w:webHidden/>
              </w:rPr>
              <w:fldChar w:fldCharType="begin"/>
            </w:r>
            <w:r w:rsidR="006B1A80">
              <w:rPr>
                <w:noProof/>
                <w:webHidden/>
              </w:rPr>
              <w:instrText xml:space="preserve"> PAGEREF _Toc48388685 \h </w:instrText>
            </w:r>
            <w:r w:rsidR="006B1A80">
              <w:rPr>
                <w:noProof/>
                <w:webHidden/>
              </w:rPr>
            </w:r>
            <w:r w:rsidR="006B1A80">
              <w:rPr>
                <w:noProof/>
                <w:webHidden/>
              </w:rPr>
              <w:fldChar w:fldCharType="separate"/>
            </w:r>
            <w:r w:rsidR="006B1A80">
              <w:rPr>
                <w:noProof/>
                <w:webHidden/>
              </w:rPr>
              <w:t>55</w:t>
            </w:r>
            <w:r w:rsidR="006B1A80">
              <w:rPr>
                <w:noProof/>
                <w:webHidden/>
              </w:rPr>
              <w:fldChar w:fldCharType="end"/>
            </w:r>
          </w:hyperlink>
        </w:p>
        <w:p w14:paraId="02C69CDB" w14:textId="4BC74FC3" w:rsidR="005E45F5" w:rsidRPr="00BB4D81" w:rsidRDefault="005E45F5">
          <w:r w:rsidRPr="00BB4D81">
            <w:rPr>
              <w:b/>
              <w:bCs/>
            </w:rPr>
            <w:fldChar w:fldCharType="end"/>
          </w:r>
        </w:p>
      </w:sdtContent>
    </w:sdt>
    <w:p w14:paraId="74B070EC" w14:textId="77777777" w:rsidR="00B164DA" w:rsidRPr="00BB4D81" w:rsidRDefault="00B164DA" w:rsidP="000D3084">
      <w:pPr>
        <w:pStyle w:val="Text2"/>
        <w:rPr>
          <w:rFonts w:asciiTheme="majorHAnsi" w:hAnsiTheme="majorHAnsi" w:cstheme="majorHAnsi"/>
          <w:lang w:val="en-IE"/>
        </w:rPr>
      </w:pPr>
    </w:p>
    <w:p w14:paraId="2FE9114F" w14:textId="77777777" w:rsidR="009A18DB" w:rsidRPr="00BB4D81" w:rsidRDefault="009A18DB" w:rsidP="009A18DB">
      <w:pPr>
        <w:pStyle w:val="Text2"/>
        <w:rPr>
          <w:rFonts w:asciiTheme="majorHAnsi" w:hAnsiTheme="majorHAnsi" w:cstheme="majorHAnsi"/>
          <w:lang w:val="en-IE"/>
        </w:rPr>
      </w:pPr>
    </w:p>
    <w:p w14:paraId="1B49DC0B" w14:textId="77777777" w:rsidR="00B70A18" w:rsidRPr="00BB4D81" w:rsidRDefault="00B70A18" w:rsidP="009A18DB">
      <w:pPr>
        <w:pStyle w:val="Text2"/>
        <w:rPr>
          <w:rFonts w:asciiTheme="majorHAnsi" w:hAnsiTheme="majorHAnsi" w:cstheme="majorHAnsi"/>
          <w:lang w:val="en-IE"/>
        </w:rPr>
      </w:pPr>
    </w:p>
    <w:p w14:paraId="7B8B4B63" w14:textId="20AB282F" w:rsidR="00185054" w:rsidRPr="00BB4D81" w:rsidRDefault="00185054">
      <w:pPr>
        <w:rPr>
          <w:rFonts w:asciiTheme="majorHAnsi" w:eastAsia="Times New Roman" w:hAnsiTheme="majorHAnsi" w:cstheme="majorHAnsi"/>
          <w:szCs w:val="20"/>
          <w:lang w:eastAsia="en-US"/>
        </w:rPr>
      </w:pPr>
      <w:r w:rsidRPr="00BB4D81">
        <w:rPr>
          <w:rFonts w:asciiTheme="majorHAnsi" w:hAnsiTheme="majorHAnsi" w:cstheme="majorHAnsi"/>
        </w:rPr>
        <w:br w:type="page"/>
      </w:r>
    </w:p>
    <w:p w14:paraId="613166D8" w14:textId="77777777" w:rsidR="00B70A18" w:rsidRPr="00BB4D81" w:rsidRDefault="00B70A18" w:rsidP="009A18DB">
      <w:pPr>
        <w:pStyle w:val="Text2"/>
        <w:rPr>
          <w:rFonts w:asciiTheme="majorHAnsi" w:hAnsiTheme="majorHAnsi" w:cstheme="majorHAnsi"/>
          <w:lang w:val="en-IE"/>
        </w:rPr>
      </w:pPr>
    </w:p>
    <w:p w14:paraId="29D81A6A" w14:textId="3592648B" w:rsidR="00B70A18" w:rsidRPr="00BB4D81" w:rsidRDefault="004B1A08" w:rsidP="00B02122">
      <w:pPr>
        <w:pStyle w:val="Heading1"/>
        <w:rPr>
          <w:rFonts w:eastAsia="Times New Roman"/>
          <w:lang w:eastAsia="en-US"/>
        </w:rPr>
      </w:pPr>
      <w:bookmarkStart w:id="0" w:name="_Toc48388668"/>
      <w:r w:rsidRPr="00BB4D81">
        <w:rPr>
          <w:rFonts w:eastAsia="Times New Roman"/>
          <w:lang w:eastAsia="en-US"/>
        </w:rPr>
        <w:t>Background</w:t>
      </w:r>
      <w:bookmarkEnd w:id="0"/>
    </w:p>
    <w:p w14:paraId="5AAEF2B9" w14:textId="6A7923C5" w:rsidR="004B1A08" w:rsidRPr="00BB4D81" w:rsidRDefault="004B1A08" w:rsidP="004B1A08">
      <w:pPr>
        <w:jc w:val="both"/>
        <w:rPr>
          <w:rFonts w:ascii="Segoe UI" w:eastAsia="Calibri" w:hAnsi="Segoe UI" w:cs="Segoe UI"/>
          <w:sz w:val="20"/>
          <w:szCs w:val="20"/>
        </w:rPr>
      </w:pPr>
      <w:r w:rsidRPr="00BB4D81">
        <w:rPr>
          <w:rFonts w:ascii="Segoe UI" w:eastAsia="Calibri" w:hAnsi="Segoe UI" w:cs="Segoe UI"/>
          <w:sz w:val="20"/>
          <w:szCs w:val="20"/>
        </w:rPr>
        <w:t>The purpose of WP5 is to develop guidance on how a preparation process authorisation (PPA) programme should or could be organised. In order to develop the guideline</w:t>
      </w:r>
      <w:r w:rsidR="00091F94" w:rsidRPr="00BB4D81">
        <w:rPr>
          <w:rFonts w:ascii="Segoe UI" w:eastAsia="Calibri" w:hAnsi="Segoe UI" w:cs="Segoe UI"/>
          <w:sz w:val="20"/>
          <w:szCs w:val="20"/>
        </w:rPr>
        <w:t>,</w:t>
      </w:r>
      <w:r w:rsidRPr="00BB4D81">
        <w:rPr>
          <w:rFonts w:ascii="Segoe UI" w:eastAsia="Calibri" w:hAnsi="Segoe UI" w:cs="Segoe UI"/>
          <w:sz w:val="20"/>
          <w:szCs w:val="20"/>
        </w:rPr>
        <w:t xml:space="preserve"> WP5 will elaborate on the good practice guidelines for PPA based on the requirements defined in the European Directives, and review and analyse outputs from previous projects in order to define a common approach and methodology.</w:t>
      </w:r>
    </w:p>
    <w:p w14:paraId="04A28392" w14:textId="313C484F" w:rsidR="004B1A08" w:rsidRPr="00BB4D81" w:rsidRDefault="004B1A08" w:rsidP="004B1A08">
      <w:pPr>
        <w:autoSpaceDE w:val="0"/>
        <w:autoSpaceDN w:val="0"/>
        <w:spacing w:after="0" w:line="240" w:lineRule="auto"/>
        <w:rPr>
          <w:rFonts w:ascii="Segoe UI" w:eastAsia="Calibri" w:hAnsi="Segoe UI" w:cs="Segoe UI"/>
          <w:bCs/>
          <w:sz w:val="20"/>
          <w:szCs w:val="20"/>
        </w:rPr>
      </w:pPr>
      <w:r w:rsidRPr="00BB4D81">
        <w:rPr>
          <w:rFonts w:ascii="Segoe UI" w:eastAsia="Calibri" w:hAnsi="Segoe UI" w:cs="Segoe UI"/>
          <w:bCs/>
          <w:sz w:val="20"/>
          <w:szCs w:val="20"/>
        </w:rPr>
        <w:t>There are three main milestones for WP5:</w:t>
      </w:r>
    </w:p>
    <w:p w14:paraId="70AECB80" w14:textId="77777777" w:rsidR="004B1A08" w:rsidRPr="00BB4D81" w:rsidRDefault="004B1A08" w:rsidP="004B1A08">
      <w:pPr>
        <w:autoSpaceDE w:val="0"/>
        <w:autoSpaceDN w:val="0"/>
        <w:spacing w:after="0" w:line="240" w:lineRule="auto"/>
        <w:rPr>
          <w:rFonts w:ascii="Segoe UI" w:eastAsia="Calibri" w:hAnsi="Segoe UI" w:cs="Segoe UI"/>
          <w:bCs/>
          <w:sz w:val="20"/>
          <w:szCs w:val="20"/>
        </w:rPr>
      </w:pPr>
    </w:p>
    <w:p w14:paraId="699E1BC7" w14:textId="7A38714A" w:rsidR="004B1A08" w:rsidRPr="00BB4D81" w:rsidRDefault="004B1A08" w:rsidP="004B1A08">
      <w:pPr>
        <w:autoSpaceDE w:val="0"/>
        <w:autoSpaceDN w:val="0"/>
        <w:spacing w:after="0" w:line="240" w:lineRule="auto"/>
        <w:rPr>
          <w:rFonts w:ascii="Segoe UI" w:eastAsia="Calibri" w:hAnsi="Segoe UI" w:cs="Segoe UI"/>
          <w:bCs/>
          <w:sz w:val="20"/>
          <w:szCs w:val="20"/>
        </w:rPr>
      </w:pPr>
      <w:r w:rsidRPr="00BB4D81">
        <w:rPr>
          <w:rFonts w:ascii="Segoe UI" w:eastAsia="Calibri" w:hAnsi="Segoe UI" w:cs="Segoe UI"/>
          <w:bCs/>
          <w:sz w:val="20"/>
          <w:szCs w:val="20"/>
        </w:rPr>
        <w:t>D.5.1 Extension of the outputs of previous projects, VISTART</w:t>
      </w:r>
      <w:r w:rsidR="00B511E0">
        <w:rPr>
          <w:rFonts w:ascii="Segoe UI" w:eastAsia="Calibri" w:hAnsi="Segoe UI" w:cs="Segoe UI"/>
          <w:bCs/>
          <w:sz w:val="20"/>
          <w:szCs w:val="20"/>
          <w:vertAlign w:val="superscript"/>
        </w:rPr>
        <w:t>1</w:t>
      </w:r>
      <w:r w:rsidRPr="00BB4D81">
        <w:rPr>
          <w:rFonts w:ascii="Segoe UI" w:eastAsia="Calibri" w:hAnsi="Segoe UI" w:cs="Segoe UI"/>
          <w:bCs/>
          <w:sz w:val="20"/>
          <w:szCs w:val="20"/>
        </w:rPr>
        <w:t xml:space="preserve"> WP5B, EUROGTP II etc., to be applicable to blood establishments. </w:t>
      </w:r>
    </w:p>
    <w:p w14:paraId="719C93C8" w14:textId="77777777" w:rsidR="004B1A08" w:rsidRPr="00BB4D81" w:rsidRDefault="004B1A08" w:rsidP="00D779D6">
      <w:pPr>
        <w:autoSpaceDE w:val="0"/>
        <w:autoSpaceDN w:val="0"/>
        <w:spacing w:after="0" w:line="240" w:lineRule="auto"/>
        <w:jc w:val="both"/>
        <w:rPr>
          <w:rFonts w:ascii="Segoe UI" w:eastAsia="Calibri" w:hAnsi="Segoe UI" w:cs="Segoe UI"/>
          <w:b/>
          <w:bCs/>
          <w:sz w:val="20"/>
          <w:szCs w:val="20"/>
        </w:rPr>
      </w:pPr>
    </w:p>
    <w:p w14:paraId="1EDE4E7A" w14:textId="77777777" w:rsidR="004B1A08" w:rsidRPr="00BB4D81" w:rsidRDefault="004B1A08" w:rsidP="00D779D6">
      <w:pPr>
        <w:numPr>
          <w:ilvl w:val="0"/>
          <w:numId w:val="5"/>
        </w:numPr>
        <w:autoSpaceDE w:val="0"/>
        <w:autoSpaceDN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The HPRA and OCATT have performed a review of the outputs of VISTART WP5B and </w:t>
      </w:r>
    </w:p>
    <w:p w14:paraId="51756AAC" w14:textId="70D21CF4" w:rsidR="004B1A08" w:rsidRPr="00BB4D81" w:rsidRDefault="004B1A08" w:rsidP="00D779D6">
      <w:pPr>
        <w:autoSpaceDE w:val="0"/>
        <w:autoSpaceDN w:val="0"/>
        <w:spacing w:after="0" w:line="240" w:lineRule="auto"/>
        <w:ind w:firstLine="720"/>
        <w:jc w:val="both"/>
        <w:rPr>
          <w:rFonts w:ascii="Segoe UI" w:eastAsia="Calibri" w:hAnsi="Segoe UI" w:cs="Segoe UI"/>
          <w:sz w:val="20"/>
          <w:szCs w:val="20"/>
        </w:rPr>
      </w:pPr>
      <w:r w:rsidRPr="00BB4D81">
        <w:rPr>
          <w:rFonts w:ascii="Segoe UI" w:eastAsia="Calibri" w:hAnsi="Segoe UI" w:cs="Segoe UI"/>
          <w:sz w:val="20"/>
          <w:szCs w:val="20"/>
        </w:rPr>
        <w:t xml:space="preserve">of </w:t>
      </w:r>
      <w:r w:rsidR="0093210F">
        <w:rPr>
          <w:rFonts w:ascii="Segoe UI" w:eastAsia="Calibri" w:hAnsi="Segoe UI" w:cs="Segoe UI"/>
          <w:sz w:val="20"/>
          <w:szCs w:val="20"/>
        </w:rPr>
        <w:t>EURO</w:t>
      </w:r>
      <w:r w:rsidRPr="00BB4D81">
        <w:rPr>
          <w:rFonts w:ascii="Segoe UI" w:eastAsia="Calibri" w:hAnsi="Segoe UI" w:cs="Segoe UI"/>
          <w:sz w:val="20"/>
          <w:szCs w:val="20"/>
        </w:rPr>
        <w:t>GTPII and a report has been drafted.</w:t>
      </w:r>
    </w:p>
    <w:p w14:paraId="208A25D9"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6EDAB5BE" w14:textId="19DD8445" w:rsidR="004B1A08" w:rsidRPr="007E0246" w:rsidRDefault="004B1A08" w:rsidP="008F1340">
      <w:pPr>
        <w:numPr>
          <w:ilvl w:val="0"/>
          <w:numId w:val="5"/>
        </w:numPr>
        <w:autoSpaceDE w:val="0"/>
        <w:autoSpaceDN w:val="0"/>
        <w:spacing w:after="0" w:line="240" w:lineRule="auto"/>
        <w:rPr>
          <w:rFonts w:ascii="Segoe UI" w:eastAsia="Calibri" w:hAnsi="Segoe UI" w:cs="Segoe UI"/>
          <w:b/>
          <w:bCs/>
          <w:sz w:val="20"/>
          <w:szCs w:val="20"/>
        </w:rPr>
      </w:pPr>
      <w:r w:rsidRPr="007E0246">
        <w:rPr>
          <w:rFonts w:ascii="Segoe UI" w:eastAsia="Calibri" w:hAnsi="Segoe UI" w:cs="Segoe UI"/>
          <w:sz w:val="20"/>
          <w:szCs w:val="20"/>
        </w:rPr>
        <w:t>The EU</w:t>
      </w:r>
      <w:r w:rsidR="00A85BD2">
        <w:rPr>
          <w:rFonts w:ascii="Segoe UI" w:eastAsia="Calibri" w:hAnsi="Segoe UI" w:cs="Segoe UI"/>
          <w:sz w:val="20"/>
          <w:szCs w:val="20"/>
        </w:rPr>
        <w:t>R</w:t>
      </w:r>
      <w:r w:rsidRPr="007E0246">
        <w:rPr>
          <w:rFonts w:ascii="Segoe UI" w:eastAsia="Calibri" w:hAnsi="Segoe UI" w:cs="Segoe UI"/>
          <w:sz w:val="20"/>
          <w:szCs w:val="20"/>
        </w:rPr>
        <w:t xml:space="preserve">OGTPII group have been approached to review if </w:t>
      </w:r>
      <w:r w:rsidR="0093210F">
        <w:rPr>
          <w:rFonts w:ascii="Segoe UI" w:eastAsia="Calibri" w:hAnsi="Segoe UI" w:cs="Segoe UI"/>
          <w:sz w:val="20"/>
          <w:szCs w:val="20"/>
        </w:rPr>
        <w:t>EURO</w:t>
      </w:r>
      <w:r w:rsidRPr="007E0246">
        <w:rPr>
          <w:rFonts w:ascii="Segoe UI" w:eastAsia="Calibri" w:hAnsi="Segoe UI" w:cs="Segoe UI"/>
          <w:sz w:val="20"/>
          <w:szCs w:val="20"/>
        </w:rPr>
        <w:t xml:space="preserve">GTPII can be extended to blood. The practicalities of how this would be performed and what the expectations would be in this regard are yet to be discussed. </w:t>
      </w:r>
    </w:p>
    <w:p w14:paraId="577B37E7" w14:textId="77777777" w:rsidR="004B1A08" w:rsidRPr="00BB4D81" w:rsidRDefault="004B1A08" w:rsidP="004B1A08">
      <w:pPr>
        <w:autoSpaceDE w:val="0"/>
        <w:autoSpaceDN w:val="0"/>
        <w:spacing w:after="0" w:line="240" w:lineRule="auto"/>
        <w:ind w:left="720"/>
        <w:rPr>
          <w:rFonts w:ascii="Segoe UI" w:eastAsia="Calibri" w:hAnsi="Segoe UI" w:cs="Segoe UI"/>
          <w:sz w:val="20"/>
          <w:szCs w:val="20"/>
        </w:rPr>
      </w:pPr>
    </w:p>
    <w:p w14:paraId="2D1C78C1"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385143CE" w14:textId="77777777" w:rsidR="004B1A08" w:rsidRPr="00BB4D81" w:rsidRDefault="004B1A08" w:rsidP="004B1A08">
      <w:pPr>
        <w:autoSpaceDE w:val="0"/>
        <w:autoSpaceDN w:val="0"/>
        <w:spacing w:after="0" w:line="240" w:lineRule="auto"/>
        <w:rPr>
          <w:rFonts w:ascii="Segoe UI" w:eastAsia="Calibri" w:hAnsi="Segoe UI" w:cs="Segoe UI"/>
          <w:bCs/>
          <w:sz w:val="20"/>
          <w:szCs w:val="20"/>
        </w:rPr>
      </w:pPr>
      <w:r w:rsidRPr="00BB4D81">
        <w:rPr>
          <w:rFonts w:ascii="Segoe UI" w:eastAsia="Calibri" w:hAnsi="Segoe UI" w:cs="Segoe UI"/>
          <w:bCs/>
          <w:sz w:val="20"/>
          <w:szCs w:val="20"/>
        </w:rPr>
        <w:t>D 5.2 Report on the outcome and conclusions of the survey, the desk-based review of PPA in other fields and the multi-country workshop</w:t>
      </w:r>
    </w:p>
    <w:p w14:paraId="20A2F873" w14:textId="77777777" w:rsidR="004B1A08" w:rsidRPr="00BB4D81" w:rsidRDefault="004B1A08" w:rsidP="004B1A08">
      <w:pPr>
        <w:autoSpaceDE w:val="0"/>
        <w:autoSpaceDN w:val="0"/>
        <w:spacing w:after="0" w:line="240" w:lineRule="auto"/>
        <w:rPr>
          <w:rFonts w:ascii="Segoe UI" w:eastAsia="Calibri" w:hAnsi="Segoe UI" w:cs="Segoe UI"/>
          <w:b/>
          <w:bCs/>
          <w:sz w:val="20"/>
          <w:szCs w:val="20"/>
        </w:rPr>
      </w:pPr>
    </w:p>
    <w:p w14:paraId="2722199D" w14:textId="77777777" w:rsidR="004B1A08" w:rsidRPr="00BB4D81" w:rsidRDefault="004B1A08" w:rsidP="008F1340">
      <w:pPr>
        <w:numPr>
          <w:ilvl w:val="0"/>
          <w:numId w:val="5"/>
        </w:numPr>
        <w:autoSpaceDE w:val="0"/>
        <w:autoSpaceDN w:val="0"/>
        <w:spacing w:after="0" w:line="240" w:lineRule="auto"/>
        <w:rPr>
          <w:rFonts w:ascii="Segoe UI" w:eastAsia="Calibri" w:hAnsi="Segoe UI" w:cs="Segoe UI"/>
          <w:sz w:val="20"/>
          <w:szCs w:val="20"/>
          <w:u w:val="single"/>
        </w:rPr>
      </w:pPr>
      <w:r w:rsidRPr="00BB4D81">
        <w:rPr>
          <w:rFonts w:ascii="Segoe UI" w:eastAsia="Calibri" w:hAnsi="Segoe UI" w:cs="Segoe UI"/>
          <w:sz w:val="20"/>
          <w:szCs w:val="20"/>
          <w:u w:val="single"/>
        </w:rPr>
        <w:t>Desk Based Review:</w:t>
      </w:r>
    </w:p>
    <w:p w14:paraId="623D5A99"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66C9931F" w14:textId="0FED4204" w:rsidR="004B1A08" w:rsidRPr="00BB4D81" w:rsidRDefault="004B1A08" w:rsidP="004B1A08">
      <w:pPr>
        <w:autoSpaceDE w:val="0"/>
        <w:autoSpaceDN w:val="0"/>
        <w:spacing w:after="0" w:line="240" w:lineRule="auto"/>
        <w:ind w:left="720"/>
        <w:rPr>
          <w:rFonts w:ascii="Segoe UI" w:eastAsia="Calibri" w:hAnsi="Segoe UI" w:cs="Segoe UI"/>
          <w:sz w:val="20"/>
          <w:szCs w:val="20"/>
        </w:rPr>
      </w:pPr>
      <w:r w:rsidRPr="00BB4D81">
        <w:rPr>
          <w:rFonts w:ascii="Segoe UI" w:eastAsia="Calibri" w:hAnsi="Segoe UI" w:cs="Segoe UI"/>
          <w:sz w:val="20"/>
          <w:szCs w:val="20"/>
        </w:rPr>
        <w:t xml:space="preserve">The </w:t>
      </w:r>
      <w:r w:rsidR="005F0F28" w:rsidRPr="00BB4D81">
        <w:rPr>
          <w:rFonts w:ascii="Segoe UI" w:eastAsia="Calibri" w:hAnsi="Segoe UI" w:cs="Segoe UI"/>
          <w:sz w:val="20"/>
          <w:szCs w:val="20"/>
        </w:rPr>
        <w:t>desk-based</w:t>
      </w:r>
      <w:r w:rsidRPr="00BB4D81">
        <w:rPr>
          <w:rFonts w:ascii="Segoe UI" w:eastAsia="Calibri" w:hAnsi="Segoe UI" w:cs="Segoe UI"/>
          <w:sz w:val="20"/>
          <w:szCs w:val="20"/>
        </w:rPr>
        <w:t xml:space="preserve"> review has been completed</w:t>
      </w:r>
      <w:r w:rsidR="0007080A" w:rsidRPr="00BB4D81">
        <w:rPr>
          <w:rFonts w:ascii="Segoe UI" w:eastAsia="Calibri" w:hAnsi="Segoe UI" w:cs="Segoe UI"/>
          <w:sz w:val="20"/>
          <w:szCs w:val="20"/>
        </w:rPr>
        <w:t xml:space="preserve"> by</w:t>
      </w:r>
      <w:r w:rsidRPr="00BB4D81">
        <w:rPr>
          <w:rFonts w:ascii="Segoe UI" w:eastAsia="Calibri" w:hAnsi="Segoe UI" w:cs="Segoe UI"/>
          <w:sz w:val="20"/>
          <w:szCs w:val="20"/>
        </w:rPr>
        <w:t xml:space="preserve"> the HPRA. The methodology and </w:t>
      </w:r>
      <w:r w:rsidR="00292CF6">
        <w:rPr>
          <w:rFonts w:ascii="Segoe UI" w:eastAsia="Calibri" w:hAnsi="Segoe UI" w:cs="Segoe UI"/>
          <w:sz w:val="20"/>
          <w:szCs w:val="20"/>
        </w:rPr>
        <w:t xml:space="preserve">relevant </w:t>
      </w:r>
      <w:r w:rsidRPr="00BB4D81">
        <w:rPr>
          <w:rFonts w:ascii="Segoe UI" w:eastAsia="Calibri" w:hAnsi="Segoe UI" w:cs="Segoe UI"/>
          <w:sz w:val="20"/>
          <w:szCs w:val="20"/>
        </w:rPr>
        <w:t>results of the review will be discussed in this report.</w:t>
      </w:r>
    </w:p>
    <w:p w14:paraId="5E1DE98C"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3C957F2B" w14:textId="77777777" w:rsidR="004B1A08" w:rsidRPr="00BB4D81" w:rsidRDefault="004B1A08" w:rsidP="008F1340">
      <w:pPr>
        <w:numPr>
          <w:ilvl w:val="0"/>
          <w:numId w:val="5"/>
        </w:numPr>
        <w:autoSpaceDE w:val="0"/>
        <w:autoSpaceDN w:val="0"/>
        <w:spacing w:after="0" w:line="240" w:lineRule="auto"/>
        <w:rPr>
          <w:rFonts w:ascii="Segoe UI" w:eastAsia="Calibri" w:hAnsi="Segoe UI" w:cs="Segoe UI"/>
          <w:sz w:val="20"/>
          <w:szCs w:val="20"/>
          <w:u w:val="single"/>
        </w:rPr>
      </w:pPr>
      <w:r w:rsidRPr="00BB4D81">
        <w:rPr>
          <w:rFonts w:ascii="Segoe UI" w:eastAsia="Calibri" w:hAnsi="Segoe UI" w:cs="Segoe UI"/>
          <w:sz w:val="20"/>
          <w:szCs w:val="20"/>
          <w:u w:val="single"/>
        </w:rPr>
        <w:t>Survey:</w:t>
      </w:r>
    </w:p>
    <w:p w14:paraId="4E3C7042"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7FAB736F" w14:textId="77777777" w:rsidR="004B1A08" w:rsidRPr="00BB4D81" w:rsidRDefault="004B1A08" w:rsidP="004B1A08">
      <w:pPr>
        <w:autoSpaceDE w:val="0"/>
        <w:autoSpaceDN w:val="0"/>
        <w:spacing w:after="0" w:line="240" w:lineRule="auto"/>
        <w:ind w:left="720"/>
        <w:rPr>
          <w:rFonts w:ascii="Segoe UI" w:eastAsia="Calibri" w:hAnsi="Segoe UI" w:cs="Segoe UI"/>
          <w:sz w:val="20"/>
          <w:szCs w:val="20"/>
        </w:rPr>
      </w:pPr>
      <w:r w:rsidRPr="00BB4D81">
        <w:rPr>
          <w:rFonts w:ascii="Segoe UI" w:eastAsia="Calibri" w:hAnsi="Segoe UI" w:cs="Segoe UI"/>
          <w:sz w:val="20"/>
          <w:szCs w:val="20"/>
        </w:rPr>
        <w:t>The survey was completed in 2019, findings will be discussed in this report, and results relating to other WPs have been provided to the appropriate contacts.</w:t>
      </w:r>
    </w:p>
    <w:p w14:paraId="6F7852E5"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761118D8" w14:textId="77777777" w:rsidR="004B1A08" w:rsidRPr="00BB4D81" w:rsidRDefault="004B1A08" w:rsidP="008F1340">
      <w:pPr>
        <w:numPr>
          <w:ilvl w:val="0"/>
          <w:numId w:val="5"/>
        </w:numPr>
        <w:autoSpaceDE w:val="0"/>
        <w:autoSpaceDN w:val="0"/>
        <w:spacing w:after="0" w:line="240" w:lineRule="auto"/>
        <w:rPr>
          <w:rFonts w:ascii="Segoe UI" w:eastAsia="Calibri" w:hAnsi="Segoe UI" w:cs="Segoe UI"/>
          <w:sz w:val="20"/>
          <w:szCs w:val="20"/>
          <w:u w:val="single"/>
        </w:rPr>
      </w:pPr>
      <w:r w:rsidRPr="00BB4D81">
        <w:rPr>
          <w:rFonts w:ascii="Segoe UI" w:eastAsia="Calibri" w:hAnsi="Segoe UI" w:cs="Segoe UI"/>
          <w:sz w:val="20"/>
          <w:szCs w:val="20"/>
          <w:u w:val="single"/>
        </w:rPr>
        <w:t>Multi Country Workshops:</w:t>
      </w:r>
    </w:p>
    <w:p w14:paraId="08F307D7"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6E806FD6" w14:textId="293B982E" w:rsidR="004B1A08" w:rsidRPr="00BB4D81" w:rsidRDefault="004B1A08" w:rsidP="00D779D6">
      <w:pPr>
        <w:autoSpaceDE w:val="0"/>
        <w:autoSpaceDN w:val="0"/>
        <w:spacing w:after="0" w:line="240" w:lineRule="auto"/>
        <w:ind w:left="720"/>
        <w:jc w:val="both"/>
        <w:rPr>
          <w:rFonts w:ascii="Segoe UI" w:eastAsia="Calibri" w:hAnsi="Segoe UI" w:cs="Segoe UI"/>
          <w:sz w:val="20"/>
          <w:szCs w:val="20"/>
        </w:rPr>
      </w:pPr>
      <w:r w:rsidRPr="00BB4D81">
        <w:rPr>
          <w:rFonts w:ascii="Segoe UI" w:eastAsia="Calibri" w:hAnsi="Segoe UI" w:cs="Segoe UI"/>
          <w:sz w:val="20"/>
          <w:szCs w:val="20"/>
        </w:rPr>
        <w:t>A mul</w:t>
      </w:r>
      <w:r w:rsidR="007E0246">
        <w:rPr>
          <w:rFonts w:ascii="Segoe UI" w:eastAsia="Calibri" w:hAnsi="Segoe UI" w:cs="Segoe UI"/>
          <w:sz w:val="20"/>
          <w:szCs w:val="20"/>
        </w:rPr>
        <w:t>t</w:t>
      </w:r>
      <w:r w:rsidRPr="00BB4D81">
        <w:rPr>
          <w:rFonts w:ascii="Segoe UI" w:eastAsia="Calibri" w:hAnsi="Segoe UI" w:cs="Segoe UI"/>
          <w:sz w:val="20"/>
          <w:szCs w:val="20"/>
        </w:rPr>
        <w:t>i-country workshop was held for tissue and cell CAs in October 2019, and again for blood CAs in February 2020</w:t>
      </w:r>
      <w:r w:rsidR="008E1922">
        <w:rPr>
          <w:rFonts w:ascii="Segoe UI" w:eastAsia="Calibri" w:hAnsi="Segoe UI" w:cs="Segoe UI"/>
          <w:sz w:val="20"/>
          <w:szCs w:val="20"/>
        </w:rPr>
        <w:t xml:space="preserve"> at the European Commission Office’s in Brussels</w:t>
      </w:r>
      <w:r w:rsidRPr="00BB4D81">
        <w:rPr>
          <w:rFonts w:ascii="Segoe UI" w:eastAsia="Calibri" w:hAnsi="Segoe UI" w:cs="Segoe UI"/>
          <w:sz w:val="20"/>
          <w:szCs w:val="20"/>
        </w:rPr>
        <w:t>. The survey results and proposed guidelines were discussed.</w:t>
      </w:r>
    </w:p>
    <w:p w14:paraId="0DA76EB5"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6B4EC242" w14:textId="77777777" w:rsidR="004B1A08" w:rsidRPr="00BB4D81" w:rsidRDefault="004B1A08" w:rsidP="008F1340">
      <w:pPr>
        <w:numPr>
          <w:ilvl w:val="0"/>
          <w:numId w:val="5"/>
        </w:numPr>
        <w:autoSpaceDE w:val="0"/>
        <w:autoSpaceDN w:val="0"/>
        <w:spacing w:after="0" w:line="240" w:lineRule="auto"/>
        <w:rPr>
          <w:rFonts w:ascii="Segoe UI" w:eastAsia="Calibri" w:hAnsi="Segoe UI" w:cs="Segoe UI"/>
          <w:bCs/>
          <w:sz w:val="20"/>
          <w:szCs w:val="20"/>
        </w:rPr>
      </w:pPr>
      <w:r w:rsidRPr="00BB4D81">
        <w:rPr>
          <w:rFonts w:ascii="Segoe UI" w:eastAsia="Calibri" w:hAnsi="Segoe UI" w:cs="Segoe UI"/>
          <w:bCs/>
          <w:sz w:val="20"/>
          <w:szCs w:val="20"/>
        </w:rPr>
        <w:t>D. 5.3 Good practice guideline to authorisation on preparation processes in blood, tissues and cells (M32).</w:t>
      </w:r>
    </w:p>
    <w:p w14:paraId="477F5A22"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7BB1A370" w14:textId="77777777" w:rsidR="004B1A08" w:rsidRPr="00BB4D81" w:rsidRDefault="004B1A08" w:rsidP="004B1A08">
      <w:pPr>
        <w:autoSpaceDE w:val="0"/>
        <w:autoSpaceDN w:val="0"/>
        <w:spacing w:after="0" w:line="240" w:lineRule="auto"/>
        <w:ind w:firstLine="720"/>
        <w:rPr>
          <w:rFonts w:ascii="Segoe UI" w:eastAsia="Calibri" w:hAnsi="Segoe UI" w:cs="Segoe UI"/>
          <w:sz w:val="20"/>
          <w:szCs w:val="20"/>
        </w:rPr>
      </w:pPr>
      <w:r w:rsidRPr="00BB4D81">
        <w:rPr>
          <w:rFonts w:ascii="Segoe UI" w:eastAsia="Calibri" w:hAnsi="Segoe UI" w:cs="Segoe UI"/>
          <w:sz w:val="20"/>
          <w:szCs w:val="20"/>
        </w:rPr>
        <w:t>The report from D.5.1 and D.5.2 will provide a basis for the guidelines.</w:t>
      </w:r>
    </w:p>
    <w:p w14:paraId="68D7FEC4"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41558171" w14:textId="77777777" w:rsidR="004B1A08" w:rsidRPr="00BB4D81" w:rsidRDefault="004B1A08" w:rsidP="004B1A08">
      <w:pPr>
        <w:autoSpaceDE w:val="0"/>
        <w:autoSpaceDN w:val="0"/>
        <w:spacing w:after="0" w:line="240" w:lineRule="auto"/>
        <w:ind w:firstLine="720"/>
        <w:rPr>
          <w:rFonts w:ascii="Segoe UI" w:eastAsia="Calibri" w:hAnsi="Segoe UI" w:cs="Segoe UI"/>
          <w:sz w:val="20"/>
          <w:szCs w:val="20"/>
        </w:rPr>
      </w:pPr>
      <w:r w:rsidRPr="00BB4D81">
        <w:rPr>
          <w:rFonts w:ascii="Segoe UI" w:eastAsia="Calibri" w:hAnsi="Segoe UI" w:cs="Segoe UI"/>
          <w:sz w:val="20"/>
          <w:szCs w:val="20"/>
        </w:rPr>
        <w:t xml:space="preserve">The guidelines will consider two aspects; </w:t>
      </w:r>
    </w:p>
    <w:p w14:paraId="08539689"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09C2A804" w14:textId="77777777" w:rsidR="004B1A08" w:rsidRPr="00BB4D81" w:rsidRDefault="004B1A08" w:rsidP="008F1340">
      <w:pPr>
        <w:numPr>
          <w:ilvl w:val="0"/>
          <w:numId w:val="4"/>
        </w:numPr>
        <w:autoSpaceDE w:val="0"/>
        <w:autoSpaceDN w:val="0"/>
        <w:spacing w:after="0" w:line="240" w:lineRule="auto"/>
        <w:rPr>
          <w:rFonts w:ascii="Segoe UI" w:eastAsia="Calibri" w:hAnsi="Segoe UI" w:cs="Segoe UI"/>
          <w:sz w:val="20"/>
          <w:szCs w:val="20"/>
        </w:rPr>
      </w:pPr>
      <w:r w:rsidRPr="00BB4D81">
        <w:rPr>
          <w:rFonts w:ascii="Segoe UI" w:eastAsia="Calibri" w:hAnsi="Segoe UI" w:cs="Segoe UI"/>
          <w:sz w:val="20"/>
          <w:szCs w:val="20"/>
        </w:rPr>
        <w:t>Requirements for CA’s in managing an effective PPA system (personnel, use of experts, organisational framework etc.);</w:t>
      </w:r>
    </w:p>
    <w:p w14:paraId="0BB4554F" w14:textId="77777777" w:rsidR="004B1A08" w:rsidRPr="00BB4D81" w:rsidRDefault="004B1A08" w:rsidP="008F1340">
      <w:pPr>
        <w:numPr>
          <w:ilvl w:val="0"/>
          <w:numId w:val="4"/>
        </w:numPr>
        <w:autoSpaceDE w:val="0"/>
        <w:autoSpaceDN w:val="0"/>
        <w:spacing w:after="0" w:line="240" w:lineRule="auto"/>
        <w:rPr>
          <w:rFonts w:ascii="Segoe UI" w:eastAsia="Calibri" w:hAnsi="Segoe UI" w:cs="Segoe UI"/>
          <w:sz w:val="20"/>
          <w:szCs w:val="20"/>
        </w:rPr>
      </w:pPr>
      <w:r w:rsidRPr="00BB4D81">
        <w:rPr>
          <w:rFonts w:ascii="Segoe UI" w:eastAsia="Calibri" w:hAnsi="Segoe UI" w:cs="Segoe UI"/>
          <w:sz w:val="20"/>
          <w:szCs w:val="20"/>
        </w:rPr>
        <w:t>Common methodology for managing PPA (for both CA’s and Blood  / Tissue Establishments) from application to authorisation;</w:t>
      </w:r>
    </w:p>
    <w:p w14:paraId="20395F7D" w14:textId="77777777" w:rsidR="004B1A08" w:rsidRPr="00BB4D81" w:rsidRDefault="004B1A08" w:rsidP="004B1A08">
      <w:pPr>
        <w:autoSpaceDE w:val="0"/>
        <w:autoSpaceDN w:val="0"/>
        <w:spacing w:after="0" w:line="240" w:lineRule="auto"/>
        <w:rPr>
          <w:rFonts w:ascii="Segoe UI" w:eastAsia="Calibri" w:hAnsi="Segoe UI" w:cs="Segoe UI"/>
          <w:sz w:val="20"/>
          <w:szCs w:val="20"/>
        </w:rPr>
      </w:pPr>
    </w:p>
    <w:p w14:paraId="54110332" w14:textId="1D146D27" w:rsidR="004B1A08" w:rsidRPr="00BB4D81" w:rsidRDefault="004B1A08" w:rsidP="004B1A08">
      <w:pPr>
        <w:autoSpaceDE w:val="0"/>
        <w:autoSpaceDN w:val="0"/>
        <w:spacing w:after="0" w:line="240" w:lineRule="auto"/>
        <w:ind w:left="720"/>
        <w:rPr>
          <w:rFonts w:ascii="Segoe UI" w:eastAsia="Calibri" w:hAnsi="Segoe UI" w:cs="Segoe UI"/>
          <w:sz w:val="20"/>
          <w:szCs w:val="20"/>
        </w:rPr>
      </w:pPr>
      <w:r w:rsidRPr="00BB4D81">
        <w:rPr>
          <w:rFonts w:ascii="Segoe UI" w:eastAsia="Calibri" w:hAnsi="Segoe UI" w:cs="Segoe UI"/>
          <w:sz w:val="20"/>
          <w:szCs w:val="20"/>
        </w:rPr>
        <w:t xml:space="preserve">The guidelines will incorporate the outputs from the technical WPs 6, 7 and 8. In </w:t>
      </w:r>
      <w:r w:rsidR="005F0F28" w:rsidRPr="00BB4D81">
        <w:rPr>
          <w:rFonts w:ascii="Segoe UI" w:eastAsia="Calibri" w:hAnsi="Segoe UI" w:cs="Segoe UI"/>
          <w:sz w:val="20"/>
          <w:szCs w:val="20"/>
        </w:rPr>
        <w:t>addition,</w:t>
      </w:r>
      <w:r w:rsidRPr="00BB4D81">
        <w:rPr>
          <w:rFonts w:ascii="Segoe UI" w:eastAsia="Calibri" w:hAnsi="Segoe UI" w:cs="Segoe UI"/>
          <w:sz w:val="20"/>
          <w:szCs w:val="20"/>
        </w:rPr>
        <w:t xml:space="preserve"> the guidelines will take into account the proposed database in relation to WP9; </w:t>
      </w:r>
    </w:p>
    <w:p w14:paraId="489F7BE7" w14:textId="77777777" w:rsidR="00083F80" w:rsidRPr="00BB4D81" w:rsidRDefault="00083F80" w:rsidP="00083F80">
      <w:pPr>
        <w:spacing w:after="0"/>
        <w:jc w:val="both"/>
        <w:rPr>
          <w:rFonts w:ascii="Arial" w:hAnsi="Arial" w:cs="Arial"/>
          <w:color w:val="335B74" w:themeColor="text2"/>
          <w:sz w:val="20"/>
          <w:szCs w:val="20"/>
        </w:rPr>
      </w:pPr>
    </w:p>
    <w:p w14:paraId="28C10F8C" w14:textId="250FCE49" w:rsidR="00B70A18" w:rsidRPr="00BB4D81" w:rsidRDefault="005109D1" w:rsidP="00B02122">
      <w:pPr>
        <w:pStyle w:val="Heading1"/>
        <w:rPr>
          <w:rFonts w:eastAsia="Times New Roman"/>
          <w:lang w:eastAsia="en-US"/>
        </w:rPr>
      </w:pPr>
      <w:bookmarkStart w:id="1" w:name="_Toc48388669"/>
      <w:r w:rsidRPr="00BB4D81">
        <w:rPr>
          <w:rFonts w:eastAsia="Times New Roman"/>
          <w:lang w:eastAsia="en-US"/>
        </w:rPr>
        <w:t>Introduction</w:t>
      </w:r>
      <w:bookmarkEnd w:id="1"/>
    </w:p>
    <w:p w14:paraId="0FA67CC1" w14:textId="2DB849DA" w:rsidR="00EC20C8" w:rsidRPr="00BB4D81" w:rsidRDefault="00EC20C8" w:rsidP="007D4C39">
      <w:pPr>
        <w:spacing w:after="0"/>
        <w:jc w:val="both"/>
        <w:rPr>
          <w:rFonts w:ascii="Arial" w:hAnsi="Arial" w:cs="Arial"/>
          <w:color w:val="335B74" w:themeColor="text2"/>
          <w:sz w:val="20"/>
          <w:szCs w:val="20"/>
        </w:rPr>
      </w:pPr>
    </w:p>
    <w:p w14:paraId="7E25D936" w14:textId="44DCC80F" w:rsidR="005109D1" w:rsidRPr="00BB4D81" w:rsidRDefault="005109D1" w:rsidP="005109D1">
      <w:pPr>
        <w:jc w:val="both"/>
        <w:rPr>
          <w:rFonts w:ascii="Segoe UI" w:eastAsia="Calibri" w:hAnsi="Segoe UI" w:cs="Segoe UI"/>
          <w:sz w:val="20"/>
          <w:szCs w:val="20"/>
        </w:rPr>
      </w:pPr>
      <w:r w:rsidRPr="00BB4D81">
        <w:rPr>
          <w:rFonts w:ascii="Segoe UI" w:eastAsia="Calibri" w:hAnsi="Segoe UI" w:cs="Segoe UI"/>
          <w:sz w:val="20"/>
          <w:szCs w:val="20"/>
        </w:rPr>
        <w:t>The concept of a preparation process author</w:t>
      </w:r>
      <w:r w:rsidR="0007080A" w:rsidRPr="00BB4D81">
        <w:rPr>
          <w:rFonts w:ascii="Segoe UI" w:eastAsia="Calibri" w:hAnsi="Segoe UI" w:cs="Segoe UI"/>
          <w:sz w:val="20"/>
          <w:szCs w:val="20"/>
        </w:rPr>
        <w:t>isation (PPA) is not a new one, t</w:t>
      </w:r>
      <w:r w:rsidRPr="00BB4D81">
        <w:rPr>
          <w:rFonts w:ascii="Segoe UI" w:eastAsia="Calibri" w:hAnsi="Segoe UI" w:cs="Segoe UI"/>
          <w:sz w:val="20"/>
          <w:szCs w:val="20"/>
        </w:rPr>
        <w:t xml:space="preserve">he PPA or the preparation process dossier (PPD) is discussed in: </w:t>
      </w:r>
    </w:p>
    <w:p w14:paraId="0D0ADCCA" w14:textId="77777777" w:rsidR="005109D1" w:rsidRPr="00BB4D81" w:rsidRDefault="005109D1" w:rsidP="00D779D6">
      <w:pPr>
        <w:pStyle w:val="ListParagraph"/>
        <w:numPr>
          <w:ilvl w:val="0"/>
          <w:numId w:val="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Directive 2006/86/EC – Annex II</w:t>
      </w:r>
    </w:p>
    <w:p w14:paraId="74C4E1B5" w14:textId="14499F5C" w:rsidR="005109D1" w:rsidRPr="00BB4D81" w:rsidRDefault="00D90918" w:rsidP="00D779D6">
      <w:pPr>
        <w:pStyle w:val="ListParagraph"/>
        <w:numPr>
          <w:ilvl w:val="0"/>
          <w:numId w:val="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w:t>
      </w:r>
      <w:r w:rsidR="005109D1" w:rsidRPr="00BB4D81">
        <w:rPr>
          <w:rFonts w:ascii="Segoe UI" w:eastAsia="Calibri" w:hAnsi="Segoe UI" w:cs="Segoe UI"/>
          <w:sz w:val="20"/>
          <w:szCs w:val="20"/>
        </w:rPr>
        <w:t>Inspection of tissue and cells procurement and tissue esta</w:t>
      </w:r>
      <w:r w:rsidR="0007080A" w:rsidRPr="00BB4D81">
        <w:rPr>
          <w:rFonts w:ascii="Segoe UI" w:eastAsia="Calibri" w:hAnsi="Segoe UI" w:cs="Segoe UI"/>
          <w:sz w:val="20"/>
          <w:szCs w:val="20"/>
        </w:rPr>
        <w:t>blishments operational manual for Competent Authorities</w:t>
      </w:r>
      <w:r w:rsidRPr="00BB4D81">
        <w:rPr>
          <w:rFonts w:ascii="Segoe UI" w:eastAsia="Calibri" w:hAnsi="Segoe UI" w:cs="Segoe UI"/>
          <w:sz w:val="20"/>
          <w:szCs w:val="20"/>
        </w:rPr>
        <w:t xml:space="preserve">’ </w:t>
      </w:r>
    </w:p>
    <w:p w14:paraId="4013E307" w14:textId="74435228" w:rsidR="005109D1" w:rsidRPr="00BB4D81" w:rsidRDefault="005109D1" w:rsidP="00D779D6">
      <w:pPr>
        <w:pStyle w:val="ListParagraph"/>
        <w:numPr>
          <w:ilvl w:val="0"/>
          <w:numId w:val="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VISTART WP6 – </w:t>
      </w:r>
      <w:r w:rsidR="00D90918" w:rsidRPr="00BB4D81">
        <w:rPr>
          <w:rFonts w:ascii="Segoe UI" w:eastAsia="Calibri" w:hAnsi="Segoe UI" w:cs="Segoe UI"/>
          <w:sz w:val="20"/>
          <w:szCs w:val="20"/>
        </w:rPr>
        <w:t>‘</w:t>
      </w:r>
      <w:r w:rsidRPr="00BB4D81">
        <w:rPr>
          <w:rFonts w:ascii="Segoe UI" w:eastAsia="Calibri" w:hAnsi="Segoe UI" w:cs="Segoe UI"/>
          <w:sz w:val="20"/>
          <w:szCs w:val="20"/>
        </w:rPr>
        <w:t>Inspection guidelines for EU Competent Authorities responsible for the inspection and authorisation of blood and tissue establishments</w:t>
      </w:r>
      <w:r w:rsidR="00D90918" w:rsidRPr="00BB4D81">
        <w:rPr>
          <w:rFonts w:ascii="Segoe UI" w:eastAsia="Calibri" w:hAnsi="Segoe UI" w:cs="Segoe UI"/>
          <w:sz w:val="20"/>
          <w:szCs w:val="20"/>
        </w:rPr>
        <w:t>’</w:t>
      </w:r>
    </w:p>
    <w:p w14:paraId="49A7778E" w14:textId="77777777" w:rsidR="00D90918" w:rsidRPr="00BB4D81" w:rsidRDefault="00D90918" w:rsidP="005109D1">
      <w:pPr>
        <w:pStyle w:val="ListParagraph"/>
        <w:rPr>
          <w:rFonts w:ascii="Segoe UI" w:eastAsia="Calibri" w:hAnsi="Segoe UI" w:cs="Segoe UI"/>
          <w:sz w:val="20"/>
          <w:szCs w:val="20"/>
        </w:rPr>
      </w:pPr>
    </w:p>
    <w:p w14:paraId="55F94A33" w14:textId="60EEC476" w:rsidR="005109D1" w:rsidRPr="00BB4D81" w:rsidRDefault="005109D1" w:rsidP="00D779D6">
      <w:pPr>
        <w:jc w:val="both"/>
        <w:rPr>
          <w:rFonts w:ascii="Segoe UI" w:eastAsia="Calibri" w:hAnsi="Segoe UI" w:cs="Segoe UI"/>
          <w:sz w:val="20"/>
          <w:szCs w:val="20"/>
        </w:rPr>
      </w:pPr>
      <w:r w:rsidRPr="00BB4D81">
        <w:rPr>
          <w:rFonts w:ascii="Segoe UI" w:eastAsia="Calibri" w:hAnsi="Segoe UI" w:cs="Segoe UI"/>
          <w:sz w:val="20"/>
          <w:szCs w:val="20"/>
        </w:rPr>
        <w:t>The preparation process dossier template</w:t>
      </w:r>
      <w:r w:rsidR="00D90918" w:rsidRPr="00BB4D81">
        <w:rPr>
          <w:rFonts w:ascii="Segoe UI" w:eastAsia="Calibri" w:hAnsi="Segoe UI" w:cs="Segoe UI"/>
          <w:sz w:val="20"/>
          <w:szCs w:val="20"/>
        </w:rPr>
        <w:t>s</w:t>
      </w:r>
      <w:r w:rsidRPr="00BB4D81">
        <w:rPr>
          <w:rFonts w:ascii="Segoe UI" w:eastAsia="Calibri" w:hAnsi="Segoe UI" w:cs="Segoe UI"/>
          <w:sz w:val="20"/>
          <w:szCs w:val="20"/>
        </w:rPr>
        <w:t xml:space="preserve"> in both the manual and the guidelines have the same common format: establishment information; preparation process-general information; materials and equipment; quality control testing; process validation for tissues and cells; process validation for blood or blood components; final labelling and accompanying information; signature and date;</w:t>
      </w:r>
      <w:r w:rsidR="00D90918" w:rsidRPr="00BB4D81">
        <w:rPr>
          <w:rFonts w:ascii="Segoe UI" w:eastAsia="Calibri" w:hAnsi="Segoe UI" w:cs="Segoe UI"/>
          <w:sz w:val="20"/>
          <w:szCs w:val="20"/>
        </w:rPr>
        <w:t xml:space="preserve"> and</w:t>
      </w:r>
      <w:r w:rsidRPr="00BB4D81">
        <w:rPr>
          <w:rFonts w:ascii="Segoe UI" w:eastAsia="Calibri" w:hAnsi="Segoe UI" w:cs="Segoe UI"/>
          <w:sz w:val="20"/>
          <w:szCs w:val="20"/>
        </w:rPr>
        <w:t xml:space="preserve"> each CA will insert relevant instructions for submission</w:t>
      </w:r>
      <w:r w:rsidR="00D90918" w:rsidRPr="00BB4D81">
        <w:rPr>
          <w:rFonts w:ascii="Segoe UI" w:eastAsia="Calibri" w:hAnsi="Segoe UI" w:cs="Segoe UI"/>
          <w:sz w:val="20"/>
          <w:szCs w:val="20"/>
        </w:rPr>
        <w:t>.</w:t>
      </w:r>
    </w:p>
    <w:p w14:paraId="57A06B61" w14:textId="0FDD72C1" w:rsidR="005109D1" w:rsidRPr="00BB4D81" w:rsidRDefault="005109D1" w:rsidP="00D779D6">
      <w:pPr>
        <w:jc w:val="both"/>
        <w:rPr>
          <w:rFonts w:ascii="Segoe UI" w:eastAsia="Calibri" w:hAnsi="Segoe UI" w:cs="Segoe UI"/>
          <w:sz w:val="20"/>
          <w:szCs w:val="20"/>
        </w:rPr>
      </w:pPr>
      <w:r w:rsidRPr="00BB4D81">
        <w:rPr>
          <w:rFonts w:ascii="Segoe UI" w:eastAsia="Calibri" w:hAnsi="Segoe UI" w:cs="Segoe UI"/>
          <w:sz w:val="20"/>
          <w:szCs w:val="20"/>
        </w:rPr>
        <w:t>The guidelines and the operation manual recommend that CAs adopt or adapt the PPD template provided</w:t>
      </w:r>
      <w:r w:rsidR="00D90918" w:rsidRPr="00BB4D81">
        <w:rPr>
          <w:rFonts w:ascii="Segoe UI" w:eastAsia="Calibri" w:hAnsi="Segoe UI" w:cs="Segoe UI"/>
          <w:sz w:val="20"/>
          <w:szCs w:val="20"/>
        </w:rPr>
        <w:t>,</w:t>
      </w:r>
      <w:r w:rsidRPr="00BB4D81">
        <w:rPr>
          <w:rFonts w:ascii="Segoe UI" w:eastAsia="Calibri" w:hAnsi="Segoe UI" w:cs="Segoe UI"/>
          <w:sz w:val="20"/>
          <w:szCs w:val="20"/>
        </w:rPr>
        <w:t xml:space="preserve"> and thoroughly evaluate this prior to granting an authorisation to process a blood, tissue or cell product.</w:t>
      </w:r>
    </w:p>
    <w:p w14:paraId="404454CF" w14:textId="77777777" w:rsidR="005109D1" w:rsidRPr="00BB4D81" w:rsidRDefault="005109D1" w:rsidP="00D779D6">
      <w:pPr>
        <w:jc w:val="both"/>
        <w:rPr>
          <w:rFonts w:ascii="Segoe UI" w:eastAsia="Calibri" w:hAnsi="Segoe UI" w:cs="Segoe UI"/>
          <w:sz w:val="20"/>
          <w:szCs w:val="20"/>
        </w:rPr>
      </w:pPr>
      <w:r w:rsidRPr="00BB4D81">
        <w:rPr>
          <w:rFonts w:ascii="Segoe UI" w:eastAsia="Calibri" w:hAnsi="Segoe UI" w:cs="Segoe UI"/>
          <w:sz w:val="20"/>
          <w:szCs w:val="20"/>
        </w:rPr>
        <w:t>To aid with the development of the PPA guidance:</w:t>
      </w:r>
    </w:p>
    <w:p w14:paraId="18766A9C" w14:textId="1668E9DE" w:rsidR="005109D1" w:rsidRPr="00BB4D81" w:rsidRDefault="005109D1" w:rsidP="00D779D6">
      <w:pPr>
        <w:pStyle w:val="ListParagraph"/>
        <w:numPr>
          <w:ilvl w:val="0"/>
          <w:numId w:val="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a survey was developed and circulated to Competent Authorities to gain an understanding of existing PPA systems that may already be in place</w:t>
      </w:r>
    </w:p>
    <w:p w14:paraId="11E49B3F" w14:textId="412846C2" w:rsidR="005109D1" w:rsidRPr="00BB4D81" w:rsidRDefault="005109D1" w:rsidP="00D779D6">
      <w:pPr>
        <w:pStyle w:val="ListParagraph"/>
        <w:numPr>
          <w:ilvl w:val="0"/>
          <w:numId w:val="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a desk based review </w:t>
      </w:r>
      <w:r w:rsidR="00D90918" w:rsidRPr="00BB4D81">
        <w:rPr>
          <w:rFonts w:ascii="Segoe UI" w:eastAsia="Calibri" w:hAnsi="Segoe UI" w:cs="Segoe UI"/>
          <w:sz w:val="20"/>
          <w:szCs w:val="20"/>
        </w:rPr>
        <w:t xml:space="preserve">was conducted </w:t>
      </w:r>
      <w:r w:rsidRPr="00BB4D81">
        <w:rPr>
          <w:rFonts w:ascii="Segoe UI" w:eastAsia="Calibri" w:hAnsi="Segoe UI" w:cs="Segoe UI"/>
          <w:sz w:val="20"/>
          <w:szCs w:val="20"/>
        </w:rPr>
        <w:t>of product authorisation systems in place in other relevant sectors e.g. medicines, medical devices</w:t>
      </w:r>
    </w:p>
    <w:p w14:paraId="0A2478B0" w14:textId="0F3192ED" w:rsidR="005109D1" w:rsidRPr="00BB4D81" w:rsidRDefault="005109D1" w:rsidP="00D779D6">
      <w:pPr>
        <w:pStyle w:val="ListParagraph"/>
        <w:numPr>
          <w:ilvl w:val="0"/>
          <w:numId w:val="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multi-country workshops were organised for blood</w:t>
      </w:r>
      <w:r w:rsidR="00D90918" w:rsidRPr="00BB4D81">
        <w:rPr>
          <w:rFonts w:ascii="Segoe UI" w:eastAsia="Calibri" w:hAnsi="Segoe UI" w:cs="Segoe UI"/>
          <w:sz w:val="20"/>
          <w:szCs w:val="20"/>
        </w:rPr>
        <w:t>,</w:t>
      </w:r>
      <w:r w:rsidRPr="00BB4D81">
        <w:rPr>
          <w:rFonts w:ascii="Segoe UI" w:eastAsia="Calibri" w:hAnsi="Segoe UI" w:cs="Segoe UI"/>
          <w:sz w:val="20"/>
          <w:szCs w:val="20"/>
        </w:rPr>
        <w:t xml:space="preserve"> and tissue and cells Competent Authorities to discuss the PPA programme</w:t>
      </w:r>
    </w:p>
    <w:p w14:paraId="34369F47" w14:textId="15DD3BC8" w:rsidR="005109D1" w:rsidRPr="00BB4D81" w:rsidRDefault="005109D1" w:rsidP="005109D1">
      <w:pPr>
        <w:rPr>
          <w:rFonts w:ascii="Segoe UI" w:eastAsia="Calibri" w:hAnsi="Segoe UI" w:cs="Segoe UI"/>
          <w:sz w:val="20"/>
          <w:szCs w:val="20"/>
        </w:rPr>
      </w:pPr>
      <w:r w:rsidRPr="00BB4D81">
        <w:rPr>
          <w:rFonts w:ascii="Segoe UI" w:eastAsia="Calibri" w:hAnsi="Segoe UI" w:cs="Segoe UI"/>
          <w:sz w:val="20"/>
          <w:szCs w:val="20"/>
        </w:rPr>
        <w:t>The outcomes of the activities above, in conjunction with relevant outputs from previous European projects, will be discussed throughout this document</w:t>
      </w:r>
      <w:r w:rsidR="001D5D9A" w:rsidRPr="00BB4D81">
        <w:rPr>
          <w:rFonts w:ascii="Segoe UI" w:eastAsia="Calibri" w:hAnsi="Segoe UI" w:cs="Segoe UI"/>
          <w:sz w:val="20"/>
          <w:szCs w:val="20"/>
        </w:rPr>
        <w:t>, as relevant</w:t>
      </w:r>
      <w:r w:rsidRPr="00BB4D81">
        <w:rPr>
          <w:rFonts w:ascii="Segoe UI" w:eastAsia="Calibri" w:hAnsi="Segoe UI" w:cs="Segoe UI"/>
          <w:sz w:val="20"/>
          <w:szCs w:val="20"/>
        </w:rPr>
        <w:t>.</w:t>
      </w:r>
      <w:r w:rsidR="001D5D9A" w:rsidRPr="00BB4D81">
        <w:rPr>
          <w:rFonts w:ascii="Segoe UI" w:eastAsia="Calibri" w:hAnsi="Segoe UI" w:cs="Segoe UI"/>
          <w:sz w:val="20"/>
          <w:szCs w:val="20"/>
        </w:rPr>
        <w:t xml:space="preserve"> </w:t>
      </w:r>
      <w:r w:rsidR="00C90AC7" w:rsidRPr="00BB4D81">
        <w:rPr>
          <w:rFonts w:ascii="Segoe UI" w:eastAsia="Calibri" w:hAnsi="Segoe UI" w:cs="Segoe UI"/>
          <w:sz w:val="20"/>
          <w:szCs w:val="20"/>
        </w:rPr>
        <w:t xml:space="preserve"> However a specific report in relation to th</w:t>
      </w:r>
      <w:r w:rsidR="00D90918" w:rsidRPr="00BB4D81">
        <w:rPr>
          <w:rFonts w:ascii="Segoe UI" w:eastAsia="Calibri" w:hAnsi="Segoe UI" w:cs="Segoe UI"/>
          <w:sz w:val="20"/>
          <w:szCs w:val="20"/>
        </w:rPr>
        <w:t>e</w:t>
      </w:r>
      <w:r w:rsidR="00C90AC7" w:rsidRPr="00BB4D81">
        <w:rPr>
          <w:rFonts w:ascii="Segoe UI" w:eastAsia="Calibri" w:hAnsi="Segoe UI" w:cs="Segoe UI"/>
          <w:sz w:val="20"/>
          <w:szCs w:val="20"/>
        </w:rPr>
        <w:t xml:space="preserve"> review</w:t>
      </w:r>
      <w:r w:rsidR="00D90918" w:rsidRPr="00BB4D81">
        <w:rPr>
          <w:rFonts w:ascii="Segoe UI" w:eastAsia="Calibri" w:hAnsi="Segoe UI" w:cs="Segoe UI"/>
          <w:sz w:val="20"/>
          <w:szCs w:val="20"/>
        </w:rPr>
        <w:t xml:space="preserve"> of previous projects</w:t>
      </w:r>
      <w:r w:rsidR="00C90AC7" w:rsidRPr="00BB4D81">
        <w:rPr>
          <w:rFonts w:ascii="Segoe UI" w:eastAsia="Calibri" w:hAnsi="Segoe UI" w:cs="Segoe UI"/>
          <w:sz w:val="20"/>
          <w:szCs w:val="20"/>
        </w:rPr>
        <w:t xml:space="preserve"> has also been produced. Ref:</w:t>
      </w:r>
      <w:r w:rsidR="00C9658E" w:rsidRPr="00BB4D81">
        <w:rPr>
          <w:rFonts w:ascii="Segoe UI" w:eastAsia="Calibri" w:hAnsi="Segoe UI" w:cs="Segoe UI"/>
          <w:sz w:val="20"/>
          <w:szCs w:val="20"/>
        </w:rPr>
        <w:t xml:space="preserve"> Deliverable 5.1 ‘Extension of the outputs of previous projects, VISTART WP5B, EUROGTPII, to be applicable to blood’.</w:t>
      </w:r>
      <w:r w:rsidR="00C90AC7" w:rsidRPr="00BB4D81">
        <w:rPr>
          <w:rFonts w:ascii="Segoe UI" w:eastAsia="Calibri" w:hAnsi="Segoe UI" w:cs="Segoe UI"/>
          <w:sz w:val="20"/>
          <w:szCs w:val="20"/>
        </w:rPr>
        <w:t xml:space="preserve">  </w:t>
      </w:r>
    </w:p>
    <w:p w14:paraId="11F5EBC4" w14:textId="77777777" w:rsidR="005109D1" w:rsidRPr="00BB4D81" w:rsidRDefault="005109D1" w:rsidP="007D4C39">
      <w:pPr>
        <w:spacing w:after="0"/>
        <w:jc w:val="both"/>
        <w:rPr>
          <w:rFonts w:ascii="Arial" w:hAnsi="Arial" w:cs="Arial"/>
          <w:color w:val="335B74" w:themeColor="text2"/>
          <w:sz w:val="20"/>
          <w:szCs w:val="20"/>
        </w:rPr>
      </w:pPr>
    </w:p>
    <w:p w14:paraId="5E1CB1A8" w14:textId="7C659790" w:rsidR="00B70A18" w:rsidRPr="00BB4D81" w:rsidRDefault="00685E15" w:rsidP="00B02122">
      <w:pPr>
        <w:pStyle w:val="Heading1"/>
        <w:rPr>
          <w:rFonts w:eastAsia="Times New Roman"/>
          <w:lang w:eastAsia="en-US"/>
        </w:rPr>
      </w:pPr>
      <w:bookmarkStart w:id="2" w:name="_Toc48388670"/>
      <w:r w:rsidRPr="00BB4D81">
        <w:rPr>
          <w:rFonts w:eastAsia="Times New Roman"/>
          <w:lang w:eastAsia="en-US"/>
        </w:rPr>
        <w:t xml:space="preserve">I. </w:t>
      </w:r>
      <w:r w:rsidR="005109D1" w:rsidRPr="00BB4D81">
        <w:rPr>
          <w:rFonts w:eastAsia="Times New Roman"/>
          <w:lang w:eastAsia="en-US"/>
        </w:rPr>
        <w:t>Survey</w:t>
      </w:r>
      <w:bookmarkEnd w:id="2"/>
    </w:p>
    <w:p w14:paraId="20EE1B3A" w14:textId="77777777" w:rsidR="005E45F5" w:rsidRPr="00BB4D81" w:rsidRDefault="005E45F5" w:rsidP="005E45F5">
      <w:pPr>
        <w:spacing w:after="0" w:line="240" w:lineRule="auto"/>
        <w:rPr>
          <w:rFonts w:ascii="Arial" w:eastAsia="Times New Roman" w:hAnsi="Arial" w:cs="Arial"/>
          <w:sz w:val="20"/>
          <w:szCs w:val="20"/>
        </w:rPr>
      </w:pPr>
    </w:p>
    <w:p w14:paraId="7BE924DB" w14:textId="70A734F8" w:rsidR="005109D1" w:rsidRPr="00BB4D81" w:rsidRDefault="005109D1" w:rsidP="005109D1">
      <w:pPr>
        <w:jc w:val="both"/>
        <w:rPr>
          <w:rFonts w:ascii="Segoe UI" w:eastAsia="Calibri" w:hAnsi="Segoe UI" w:cs="Segoe UI"/>
          <w:sz w:val="20"/>
          <w:szCs w:val="20"/>
        </w:rPr>
      </w:pPr>
      <w:r w:rsidRPr="00BB4D81">
        <w:rPr>
          <w:rFonts w:ascii="Segoe UI" w:eastAsia="Calibri" w:hAnsi="Segoe UI" w:cs="Segoe UI"/>
          <w:sz w:val="20"/>
          <w:szCs w:val="20"/>
        </w:rPr>
        <w:t xml:space="preserve">A survey was devised based on a number of </w:t>
      </w:r>
      <w:r w:rsidR="005F0F28" w:rsidRPr="00BB4D81">
        <w:rPr>
          <w:rFonts w:ascii="Segoe UI" w:eastAsia="Calibri" w:hAnsi="Segoe UI" w:cs="Segoe UI"/>
          <w:sz w:val="20"/>
          <w:szCs w:val="20"/>
        </w:rPr>
        <w:t>areas, which</w:t>
      </w:r>
      <w:r w:rsidRPr="00BB4D81">
        <w:rPr>
          <w:rFonts w:ascii="Segoe UI" w:eastAsia="Calibri" w:hAnsi="Segoe UI" w:cs="Segoe UI"/>
          <w:sz w:val="20"/>
          <w:szCs w:val="20"/>
        </w:rPr>
        <w:t xml:space="preserve"> were deemed beneficial to the development of guidance on PPA, while also taking into account other projects which had taken place, such as EuroGTPII.</w:t>
      </w:r>
    </w:p>
    <w:p w14:paraId="3A37DDF8" w14:textId="49CFD562" w:rsidR="005109D1" w:rsidRPr="00BB4D81" w:rsidRDefault="005109D1" w:rsidP="005109D1">
      <w:pPr>
        <w:jc w:val="both"/>
        <w:rPr>
          <w:rFonts w:ascii="Segoe UI" w:eastAsia="Calibri" w:hAnsi="Segoe UI" w:cs="Segoe UI"/>
          <w:sz w:val="20"/>
          <w:szCs w:val="20"/>
        </w:rPr>
      </w:pPr>
      <w:r w:rsidRPr="00BB4D81">
        <w:rPr>
          <w:rFonts w:ascii="Segoe UI" w:eastAsia="Calibri" w:hAnsi="Segoe UI" w:cs="Segoe UI"/>
          <w:sz w:val="20"/>
          <w:szCs w:val="20"/>
        </w:rPr>
        <w:t xml:space="preserve">The survey was divided into 3 different sections, as indicated </w:t>
      </w:r>
      <w:r w:rsidR="00D90918" w:rsidRPr="00BB4D81">
        <w:rPr>
          <w:rFonts w:ascii="Segoe UI" w:eastAsia="Calibri" w:hAnsi="Segoe UI" w:cs="Segoe UI"/>
          <w:sz w:val="20"/>
          <w:szCs w:val="20"/>
        </w:rPr>
        <w:t xml:space="preserve">in table 1 </w:t>
      </w:r>
      <w:r w:rsidRPr="00BB4D81">
        <w:rPr>
          <w:rFonts w:ascii="Segoe UI" w:eastAsia="Calibri" w:hAnsi="Segoe UI" w:cs="Segoe UI"/>
          <w:sz w:val="20"/>
          <w:szCs w:val="20"/>
        </w:rPr>
        <w:t>below, and sent to all blood, and tissues and cells CA, including</w:t>
      </w:r>
      <w:r w:rsidR="00F82AD7">
        <w:rPr>
          <w:rFonts w:ascii="Segoe UI" w:eastAsia="Calibri" w:hAnsi="Segoe UI" w:cs="Segoe UI"/>
          <w:sz w:val="20"/>
          <w:szCs w:val="20"/>
        </w:rPr>
        <w:t xml:space="preserve"> those responsible for</w:t>
      </w:r>
      <w:r w:rsidRPr="00BB4D81">
        <w:rPr>
          <w:rFonts w:ascii="Segoe UI" w:eastAsia="Calibri" w:hAnsi="Segoe UI" w:cs="Segoe UI"/>
          <w:sz w:val="20"/>
          <w:szCs w:val="20"/>
        </w:rPr>
        <w:t xml:space="preserve"> </w:t>
      </w:r>
      <w:r w:rsidR="00D90918" w:rsidRPr="00BB4D81">
        <w:rPr>
          <w:rFonts w:ascii="Segoe UI" w:eastAsia="Calibri" w:hAnsi="Segoe UI" w:cs="Segoe UI"/>
          <w:sz w:val="20"/>
          <w:szCs w:val="20"/>
        </w:rPr>
        <w:t>medically assisted reproduction (</w:t>
      </w:r>
      <w:r w:rsidRPr="00BB4D81">
        <w:rPr>
          <w:rFonts w:ascii="Segoe UI" w:eastAsia="Calibri" w:hAnsi="Segoe UI" w:cs="Segoe UI"/>
          <w:sz w:val="20"/>
          <w:szCs w:val="20"/>
        </w:rPr>
        <w:t>MAR</w:t>
      </w:r>
      <w:r w:rsidR="00D90918" w:rsidRPr="00BB4D81">
        <w:rPr>
          <w:rFonts w:ascii="Segoe UI" w:eastAsia="Calibri" w:hAnsi="Segoe UI" w:cs="Segoe UI"/>
          <w:sz w:val="20"/>
          <w:szCs w:val="20"/>
        </w:rPr>
        <w:t>)</w:t>
      </w:r>
      <w:r w:rsidRPr="00BB4D81">
        <w:rPr>
          <w:rFonts w:ascii="Segoe UI" w:eastAsia="Calibri" w:hAnsi="Segoe UI" w:cs="Segoe UI"/>
          <w:sz w:val="20"/>
          <w:szCs w:val="20"/>
        </w:rPr>
        <w:t>.</w:t>
      </w:r>
    </w:p>
    <w:p w14:paraId="0C4B490A" w14:textId="4B0B4BE7" w:rsidR="005109D1" w:rsidRPr="00BB4D81" w:rsidRDefault="005109D1" w:rsidP="005109D1">
      <w:pPr>
        <w:jc w:val="both"/>
        <w:rPr>
          <w:rFonts w:ascii="Segoe UI" w:eastAsia="Calibri" w:hAnsi="Segoe UI" w:cs="Segoe UI"/>
          <w:sz w:val="20"/>
          <w:szCs w:val="20"/>
        </w:rPr>
      </w:pPr>
      <w:r w:rsidRPr="00BB4D81">
        <w:rPr>
          <w:rFonts w:ascii="Segoe UI" w:eastAsia="Calibri" w:hAnsi="Segoe UI" w:cs="Segoe UI"/>
          <w:sz w:val="20"/>
          <w:szCs w:val="20"/>
        </w:rPr>
        <w:t>The survey results are detailed in appendix A of this report. A number of questions were included on behalf of the other work packages and these will not be discussed, the results have been made available to the relevant work package leaders.</w:t>
      </w:r>
    </w:p>
    <w:tbl>
      <w:tblPr>
        <w:tblStyle w:val="TableGrid"/>
        <w:tblW w:w="0" w:type="auto"/>
        <w:tblLook w:val="04A0" w:firstRow="1" w:lastRow="0" w:firstColumn="1" w:lastColumn="0" w:noHBand="0" w:noVBand="1"/>
      </w:tblPr>
      <w:tblGrid>
        <w:gridCol w:w="9350"/>
      </w:tblGrid>
      <w:tr w:rsidR="00D90918" w:rsidRPr="00BB4D81" w14:paraId="3C55B18C" w14:textId="77777777" w:rsidTr="00D90918">
        <w:tc>
          <w:tcPr>
            <w:tcW w:w="9350" w:type="dxa"/>
          </w:tcPr>
          <w:p w14:paraId="51A98AEA" w14:textId="77777777" w:rsidR="00D90918" w:rsidRPr="00BB4D81" w:rsidRDefault="00D90918" w:rsidP="00D90918">
            <w:pPr>
              <w:jc w:val="both"/>
              <w:rPr>
                <w:rFonts w:ascii="Segoe UI" w:hAnsi="Segoe UI" w:cs="Segoe UI"/>
                <w:b/>
                <w:bCs/>
                <w:sz w:val="20"/>
                <w:szCs w:val="20"/>
              </w:rPr>
            </w:pPr>
          </w:p>
          <w:p w14:paraId="133C9F28" w14:textId="494E0884" w:rsidR="00D90918" w:rsidRPr="00BB4D81" w:rsidRDefault="00D90918" w:rsidP="00D90918">
            <w:pPr>
              <w:jc w:val="both"/>
              <w:rPr>
                <w:rFonts w:ascii="Segoe UI" w:hAnsi="Segoe UI" w:cs="Segoe UI"/>
                <w:sz w:val="20"/>
                <w:szCs w:val="20"/>
              </w:rPr>
            </w:pPr>
            <w:r w:rsidRPr="00BB4D81">
              <w:rPr>
                <w:rFonts w:ascii="Segoe UI" w:hAnsi="Segoe UI" w:cs="Segoe UI"/>
                <w:b/>
                <w:bCs/>
                <w:sz w:val="20"/>
                <w:szCs w:val="20"/>
              </w:rPr>
              <w:t>Section 1:</w:t>
            </w:r>
            <w:r w:rsidRPr="00BB4D81">
              <w:rPr>
                <w:rFonts w:ascii="Segoe UI" w:hAnsi="Segoe UI" w:cs="Segoe UI"/>
                <w:bCs/>
                <w:sz w:val="20"/>
                <w:szCs w:val="20"/>
              </w:rPr>
              <w:t xml:space="preserve"> Framework for Authorisation at Competent Authorities </w:t>
            </w:r>
          </w:p>
          <w:p w14:paraId="1029EADE" w14:textId="77777777" w:rsidR="00D90918" w:rsidRPr="00BB4D81" w:rsidRDefault="00D90918" w:rsidP="005109D1">
            <w:pPr>
              <w:jc w:val="both"/>
              <w:rPr>
                <w:rFonts w:ascii="Segoe UI" w:hAnsi="Segoe UI" w:cs="Segoe UI"/>
                <w:b/>
                <w:bCs/>
                <w:sz w:val="20"/>
                <w:szCs w:val="20"/>
              </w:rPr>
            </w:pPr>
            <w:r w:rsidRPr="00BB4D81">
              <w:rPr>
                <w:rFonts w:ascii="Segoe UI" w:hAnsi="Segoe UI" w:cs="Segoe UI"/>
                <w:sz w:val="20"/>
                <w:szCs w:val="20"/>
              </w:rPr>
              <w:t xml:space="preserve">This section aimed to gather information on the scope and type of authorisations granted in the MS, the management of changes to existing authorisations and the management of new or novel applications for authorisation. </w:t>
            </w:r>
            <w:r w:rsidRPr="00BB4D81">
              <w:rPr>
                <w:rFonts w:ascii="Segoe UI" w:hAnsi="Segoe UI" w:cs="Segoe UI"/>
                <w:b/>
                <w:bCs/>
                <w:sz w:val="20"/>
                <w:szCs w:val="20"/>
              </w:rPr>
              <w:t> </w:t>
            </w:r>
          </w:p>
          <w:p w14:paraId="6A0E295D" w14:textId="0114A5D1" w:rsidR="00D90918" w:rsidRPr="00BB4D81" w:rsidRDefault="00D90918" w:rsidP="005109D1">
            <w:pPr>
              <w:jc w:val="both"/>
              <w:rPr>
                <w:rFonts w:ascii="Segoe UI" w:hAnsi="Segoe UI" w:cs="Segoe UI"/>
                <w:sz w:val="20"/>
                <w:szCs w:val="20"/>
              </w:rPr>
            </w:pPr>
          </w:p>
        </w:tc>
      </w:tr>
      <w:tr w:rsidR="00D90918" w:rsidRPr="00BB4D81" w14:paraId="2D20EA3C" w14:textId="77777777" w:rsidTr="00D90918">
        <w:tc>
          <w:tcPr>
            <w:tcW w:w="9350" w:type="dxa"/>
          </w:tcPr>
          <w:p w14:paraId="40E5A8B5" w14:textId="77777777" w:rsidR="00D90918" w:rsidRPr="00BB4D81" w:rsidRDefault="00D90918" w:rsidP="00D90918">
            <w:pPr>
              <w:jc w:val="both"/>
              <w:rPr>
                <w:rFonts w:ascii="Segoe UI" w:hAnsi="Segoe UI" w:cs="Segoe UI"/>
                <w:b/>
                <w:bCs/>
                <w:sz w:val="20"/>
                <w:szCs w:val="20"/>
              </w:rPr>
            </w:pPr>
          </w:p>
          <w:p w14:paraId="4BED92DD" w14:textId="5172EC72" w:rsidR="00D90918" w:rsidRPr="00BB4D81" w:rsidRDefault="00D90918" w:rsidP="00D90918">
            <w:pPr>
              <w:jc w:val="both"/>
              <w:rPr>
                <w:rFonts w:ascii="Segoe UI" w:hAnsi="Segoe UI" w:cs="Segoe UI"/>
                <w:sz w:val="20"/>
                <w:szCs w:val="20"/>
              </w:rPr>
            </w:pPr>
            <w:r w:rsidRPr="00BB4D81">
              <w:rPr>
                <w:rFonts w:ascii="Segoe UI" w:hAnsi="Segoe UI" w:cs="Segoe UI"/>
                <w:b/>
                <w:bCs/>
                <w:sz w:val="20"/>
                <w:szCs w:val="20"/>
              </w:rPr>
              <w:t>Section 2:</w:t>
            </w:r>
            <w:r w:rsidRPr="00BB4D81">
              <w:rPr>
                <w:rFonts w:ascii="Segoe UI" w:hAnsi="Segoe UI" w:cs="Segoe UI"/>
                <w:bCs/>
                <w:sz w:val="20"/>
                <w:szCs w:val="20"/>
              </w:rPr>
              <w:t xml:space="preserve"> System for Preparation Process Authorisation (PPA):</w:t>
            </w:r>
          </w:p>
          <w:p w14:paraId="742818AD" w14:textId="77777777" w:rsidR="00D90918" w:rsidRPr="00BB4D81" w:rsidRDefault="00D90918" w:rsidP="00D90918">
            <w:pPr>
              <w:jc w:val="both"/>
              <w:rPr>
                <w:rFonts w:ascii="Segoe UI" w:hAnsi="Segoe UI" w:cs="Segoe UI"/>
                <w:sz w:val="20"/>
                <w:szCs w:val="20"/>
              </w:rPr>
            </w:pPr>
            <w:r w:rsidRPr="00BB4D81">
              <w:rPr>
                <w:rFonts w:ascii="Segoe UI" w:hAnsi="Segoe UI" w:cs="Segoe UI"/>
                <w:sz w:val="20"/>
                <w:szCs w:val="20"/>
              </w:rPr>
              <w:t>This Section aimed to gather information on the application processes in place across MS CA, how these applications are risk assessed and the technical requirements included within the application for authorisation including;</w:t>
            </w:r>
          </w:p>
          <w:p w14:paraId="4147905F" w14:textId="77777777" w:rsidR="00D90918" w:rsidRPr="00BB4D81" w:rsidRDefault="00D90918" w:rsidP="00D90918">
            <w:pPr>
              <w:numPr>
                <w:ilvl w:val="0"/>
                <w:numId w:val="7"/>
              </w:numPr>
              <w:jc w:val="both"/>
              <w:rPr>
                <w:rFonts w:ascii="Segoe UI" w:eastAsia="Times New Roman" w:hAnsi="Segoe UI" w:cs="Segoe UI"/>
                <w:sz w:val="20"/>
                <w:szCs w:val="20"/>
              </w:rPr>
            </w:pPr>
            <w:r w:rsidRPr="00BB4D81">
              <w:rPr>
                <w:rFonts w:ascii="Segoe UI" w:eastAsia="Times New Roman" w:hAnsi="Segoe UI" w:cs="Segoe UI"/>
                <w:sz w:val="20"/>
                <w:szCs w:val="20"/>
              </w:rPr>
              <w:t>Authorisation of changes to activities performed by blood and tissue establishments (Work Package 6);</w:t>
            </w:r>
          </w:p>
          <w:p w14:paraId="717A5929" w14:textId="77777777" w:rsidR="00D90918" w:rsidRPr="00BB4D81" w:rsidRDefault="00D90918" w:rsidP="00D90918">
            <w:pPr>
              <w:numPr>
                <w:ilvl w:val="0"/>
                <w:numId w:val="7"/>
              </w:numPr>
              <w:jc w:val="both"/>
              <w:rPr>
                <w:rFonts w:ascii="Segoe UI" w:eastAsia="Times New Roman" w:hAnsi="Segoe UI" w:cs="Segoe UI"/>
                <w:sz w:val="20"/>
                <w:szCs w:val="20"/>
              </w:rPr>
            </w:pPr>
            <w:r w:rsidRPr="00BB4D81">
              <w:rPr>
                <w:rFonts w:ascii="Segoe UI" w:eastAsia="Times New Roman" w:hAnsi="Segoe UI" w:cs="Segoe UI"/>
                <w:sz w:val="20"/>
                <w:szCs w:val="20"/>
              </w:rPr>
              <w:t>Assessing the quality and safety of donor testing, microbial inactivation and sterilisation steps as part of PPA (Work Package 7);</w:t>
            </w:r>
          </w:p>
          <w:p w14:paraId="55BEE17F" w14:textId="77777777" w:rsidR="00D90918" w:rsidRPr="00BB4D81" w:rsidRDefault="00D90918" w:rsidP="00D90918">
            <w:pPr>
              <w:numPr>
                <w:ilvl w:val="0"/>
                <w:numId w:val="7"/>
              </w:numPr>
              <w:jc w:val="both"/>
              <w:rPr>
                <w:rFonts w:ascii="Segoe UI" w:eastAsia="Times New Roman" w:hAnsi="Segoe UI" w:cs="Segoe UI"/>
                <w:b/>
                <w:sz w:val="20"/>
                <w:szCs w:val="20"/>
              </w:rPr>
            </w:pPr>
            <w:r w:rsidRPr="00BB4D81">
              <w:rPr>
                <w:rFonts w:ascii="Segoe UI" w:eastAsia="Times New Roman" w:hAnsi="Segoe UI" w:cs="Segoe UI"/>
                <w:sz w:val="20"/>
                <w:szCs w:val="20"/>
              </w:rPr>
              <w:t>Assessing Clinical data as part of PPA (Work Package 8);</w:t>
            </w:r>
          </w:p>
          <w:p w14:paraId="3E891CC1" w14:textId="64F99465" w:rsidR="00D90918" w:rsidRPr="00BB4D81" w:rsidRDefault="00D90918" w:rsidP="00D90918">
            <w:pPr>
              <w:ind w:left="720"/>
              <w:jc w:val="both"/>
              <w:rPr>
                <w:rFonts w:ascii="Segoe UI" w:eastAsia="Times New Roman" w:hAnsi="Segoe UI" w:cs="Segoe UI"/>
                <w:b/>
                <w:sz w:val="20"/>
                <w:szCs w:val="20"/>
              </w:rPr>
            </w:pPr>
          </w:p>
        </w:tc>
      </w:tr>
      <w:tr w:rsidR="00D90918" w:rsidRPr="00BB4D81" w14:paraId="020B0EB8" w14:textId="77777777" w:rsidTr="00D90918">
        <w:tc>
          <w:tcPr>
            <w:tcW w:w="9350" w:type="dxa"/>
          </w:tcPr>
          <w:p w14:paraId="4219AE77" w14:textId="77777777" w:rsidR="00D90918" w:rsidRPr="00BB4D81" w:rsidRDefault="00D90918" w:rsidP="005109D1">
            <w:pPr>
              <w:jc w:val="both"/>
              <w:rPr>
                <w:rFonts w:ascii="Segoe UI" w:hAnsi="Segoe UI" w:cs="Segoe UI"/>
                <w:b/>
                <w:bCs/>
                <w:sz w:val="20"/>
                <w:szCs w:val="20"/>
              </w:rPr>
            </w:pPr>
          </w:p>
          <w:p w14:paraId="20CCA5A0" w14:textId="77777777" w:rsidR="00D90918" w:rsidRPr="00BB4D81" w:rsidRDefault="00D90918" w:rsidP="00D90918">
            <w:pPr>
              <w:jc w:val="both"/>
              <w:rPr>
                <w:rFonts w:ascii="Segoe UI" w:hAnsi="Segoe UI" w:cs="Segoe UI"/>
                <w:sz w:val="20"/>
                <w:szCs w:val="20"/>
              </w:rPr>
            </w:pPr>
            <w:r w:rsidRPr="00BB4D81">
              <w:rPr>
                <w:rFonts w:ascii="Segoe UI" w:hAnsi="Segoe UI" w:cs="Segoe UI"/>
                <w:b/>
                <w:bCs/>
                <w:sz w:val="20"/>
                <w:szCs w:val="20"/>
              </w:rPr>
              <w:t>Section 3:</w:t>
            </w:r>
            <w:r w:rsidRPr="00BB4D81">
              <w:rPr>
                <w:rFonts w:ascii="Segoe UI" w:hAnsi="Segoe UI" w:cs="Segoe UI"/>
                <w:bCs/>
                <w:sz w:val="20"/>
                <w:szCs w:val="20"/>
              </w:rPr>
              <w:t xml:space="preserve"> Review and Authorisation</w:t>
            </w:r>
            <w:r w:rsidRPr="00BB4D81">
              <w:rPr>
                <w:rFonts w:ascii="Segoe UI" w:hAnsi="Segoe UI" w:cs="Segoe UI"/>
                <w:sz w:val="20"/>
                <w:szCs w:val="20"/>
              </w:rPr>
              <w:t> </w:t>
            </w:r>
          </w:p>
          <w:p w14:paraId="65FAA258" w14:textId="77777777" w:rsidR="00D90918" w:rsidRPr="00BB4D81" w:rsidRDefault="00D90918" w:rsidP="00D90918">
            <w:pPr>
              <w:jc w:val="both"/>
              <w:rPr>
                <w:rFonts w:ascii="Segoe UI" w:hAnsi="Segoe UI" w:cs="Segoe UI"/>
                <w:sz w:val="20"/>
                <w:szCs w:val="20"/>
              </w:rPr>
            </w:pPr>
            <w:r w:rsidRPr="00BB4D81">
              <w:rPr>
                <w:rFonts w:ascii="Segoe UI" w:hAnsi="Segoe UI" w:cs="Segoe UI"/>
                <w:sz w:val="20"/>
                <w:szCs w:val="20"/>
              </w:rPr>
              <w:t>This section aimed to gather information on the systems in place for the review and evaluation of data submitted in support of applications for authorisation, the personnel / experts involved in the review process and the system for the approval / refusal of authorisation applications.</w:t>
            </w:r>
          </w:p>
          <w:p w14:paraId="62C6DCA2" w14:textId="0ED95189" w:rsidR="00D90918" w:rsidRPr="00BB4D81" w:rsidRDefault="00D90918" w:rsidP="005109D1">
            <w:pPr>
              <w:jc w:val="both"/>
              <w:rPr>
                <w:rFonts w:ascii="Segoe UI" w:hAnsi="Segoe UI" w:cs="Segoe UI"/>
                <w:b/>
                <w:bCs/>
                <w:sz w:val="20"/>
                <w:szCs w:val="20"/>
              </w:rPr>
            </w:pPr>
          </w:p>
        </w:tc>
      </w:tr>
    </w:tbl>
    <w:p w14:paraId="0130DBB9" w14:textId="10EE0476" w:rsidR="00D90918" w:rsidRPr="00BB4D81" w:rsidRDefault="00D90918" w:rsidP="005109D1">
      <w:pPr>
        <w:jc w:val="both"/>
        <w:rPr>
          <w:rFonts w:ascii="Segoe UI" w:hAnsi="Segoe UI" w:cs="Segoe UI"/>
          <w:bCs/>
          <w:sz w:val="20"/>
          <w:szCs w:val="20"/>
        </w:rPr>
      </w:pPr>
      <w:r w:rsidRPr="00BB4D81">
        <w:rPr>
          <w:rFonts w:ascii="Segoe UI" w:hAnsi="Segoe UI" w:cs="Segoe UI"/>
          <w:bCs/>
          <w:sz w:val="20"/>
          <w:szCs w:val="20"/>
        </w:rPr>
        <w:t>Table 1: Survey sections</w:t>
      </w:r>
    </w:p>
    <w:p w14:paraId="2B570E96" w14:textId="66306B3B" w:rsidR="00D90918" w:rsidRPr="00BB4D81" w:rsidRDefault="00D90918">
      <w:pPr>
        <w:rPr>
          <w:rFonts w:ascii="Arial" w:hAnsi="Arial" w:cs="Arial"/>
          <w:color w:val="335B74" w:themeColor="text2"/>
          <w:sz w:val="20"/>
          <w:szCs w:val="20"/>
        </w:rPr>
      </w:pPr>
      <w:r w:rsidRPr="00BB4D81">
        <w:rPr>
          <w:rFonts w:ascii="Arial" w:hAnsi="Arial" w:cs="Arial"/>
          <w:color w:val="335B74" w:themeColor="text2"/>
          <w:sz w:val="20"/>
          <w:szCs w:val="20"/>
        </w:rPr>
        <w:br w:type="page"/>
      </w:r>
    </w:p>
    <w:p w14:paraId="3B6ABA2A" w14:textId="7E8CE1BA" w:rsidR="00B70A18" w:rsidRPr="00BB4D81" w:rsidRDefault="00685E15" w:rsidP="00B02122">
      <w:pPr>
        <w:pStyle w:val="Heading1"/>
        <w:rPr>
          <w:rFonts w:eastAsia="Times New Roman"/>
          <w:lang w:eastAsia="en-US"/>
        </w:rPr>
      </w:pPr>
      <w:bookmarkStart w:id="3" w:name="_Toc48388671"/>
      <w:r w:rsidRPr="00BB4D81">
        <w:rPr>
          <w:rFonts w:eastAsia="Times New Roman"/>
          <w:lang w:eastAsia="en-US"/>
        </w:rPr>
        <w:t xml:space="preserve">II. </w:t>
      </w:r>
      <w:r w:rsidR="005109D1" w:rsidRPr="00BB4D81">
        <w:rPr>
          <w:rFonts w:eastAsia="Times New Roman"/>
          <w:lang w:eastAsia="en-US"/>
        </w:rPr>
        <w:t>D</w:t>
      </w:r>
      <w:r w:rsidR="00AD35E7" w:rsidRPr="00BB4D81">
        <w:rPr>
          <w:rFonts w:eastAsia="Times New Roman"/>
          <w:lang w:eastAsia="en-US"/>
        </w:rPr>
        <w:t>esk-B</w:t>
      </w:r>
      <w:r w:rsidR="005109D1" w:rsidRPr="00BB4D81">
        <w:rPr>
          <w:rFonts w:eastAsia="Times New Roman"/>
          <w:lang w:eastAsia="en-US"/>
        </w:rPr>
        <w:t>ased Review</w:t>
      </w:r>
      <w:bookmarkEnd w:id="3"/>
    </w:p>
    <w:p w14:paraId="510244DE" w14:textId="6C9DB3D9" w:rsidR="00AD35E7" w:rsidRPr="00BB4D81" w:rsidRDefault="00AD35E7" w:rsidP="00AD35E7">
      <w:pPr>
        <w:jc w:val="both"/>
        <w:rPr>
          <w:rFonts w:ascii="Segoe UI" w:hAnsi="Segoe UI" w:cs="Segoe UI"/>
          <w:sz w:val="20"/>
          <w:szCs w:val="20"/>
        </w:rPr>
      </w:pPr>
      <w:r w:rsidRPr="00BB4D81">
        <w:rPr>
          <w:rFonts w:ascii="Segoe UI" w:hAnsi="Segoe UI" w:cs="Segoe UI"/>
          <w:sz w:val="20"/>
          <w:szCs w:val="20"/>
        </w:rPr>
        <w:t xml:space="preserve">It was initially envisioned that the guidance document would take the following format, as such, this format was incorporated within the design of the </w:t>
      </w:r>
      <w:r w:rsidR="005F0F28" w:rsidRPr="00BB4D81">
        <w:rPr>
          <w:rFonts w:ascii="Segoe UI" w:hAnsi="Segoe UI" w:cs="Segoe UI"/>
          <w:sz w:val="20"/>
          <w:szCs w:val="20"/>
        </w:rPr>
        <w:t>desk-based</w:t>
      </w:r>
      <w:r w:rsidRPr="00BB4D81">
        <w:rPr>
          <w:rFonts w:ascii="Segoe UI" w:hAnsi="Segoe UI" w:cs="Segoe UI"/>
          <w:sz w:val="20"/>
          <w:szCs w:val="20"/>
        </w:rPr>
        <w:t xml:space="preserve"> review: </w:t>
      </w:r>
    </w:p>
    <w:tbl>
      <w:tblPr>
        <w:tblStyle w:val="TableGrid"/>
        <w:tblW w:w="0" w:type="auto"/>
        <w:tblLook w:val="04A0" w:firstRow="1" w:lastRow="0" w:firstColumn="1" w:lastColumn="0" w:noHBand="0" w:noVBand="1"/>
      </w:tblPr>
      <w:tblGrid>
        <w:gridCol w:w="9016"/>
      </w:tblGrid>
      <w:tr w:rsidR="00AD35E7" w:rsidRPr="00BB4D81" w14:paraId="59665384" w14:textId="77777777" w:rsidTr="00555AE4">
        <w:tc>
          <w:tcPr>
            <w:tcW w:w="9016" w:type="dxa"/>
          </w:tcPr>
          <w:p w14:paraId="5F18E717" w14:textId="77777777" w:rsidR="00AD35E7" w:rsidRPr="00BB4D81" w:rsidRDefault="00AD35E7" w:rsidP="00555AE4">
            <w:pPr>
              <w:rPr>
                <w:rFonts w:ascii="Segoe UI" w:eastAsia="Calibri" w:hAnsi="Segoe UI" w:cs="Segoe UI"/>
                <w:b/>
                <w:bCs/>
                <w:sz w:val="20"/>
                <w:szCs w:val="20"/>
              </w:rPr>
            </w:pPr>
            <w:r w:rsidRPr="00BB4D81">
              <w:rPr>
                <w:rFonts w:ascii="Segoe UI" w:eastAsia="Calibri" w:hAnsi="Segoe UI" w:cs="Segoe UI"/>
                <w:b/>
                <w:bCs/>
                <w:sz w:val="20"/>
                <w:szCs w:val="20"/>
              </w:rPr>
              <w:t xml:space="preserve">Chapter 1: Framework for Authorisation at Competent Authorities </w:t>
            </w:r>
          </w:p>
        </w:tc>
      </w:tr>
      <w:tr w:rsidR="00AD35E7" w:rsidRPr="00BB4D81" w14:paraId="4E8650AB" w14:textId="77777777" w:rsidTr="00555AE4">
        <w:tc>
          <w:tcPr>
            <w:tcW w:w="9016" w:type="dxa"/>
          </w:tcPr>
          <w:p w14:paraId="459ED9F3" w14:textId="77777777" w:rsidR="00AD35E7" w:rsidRPr="00BB4D81" w:rsidRDefault="00AD35E7" w:rsidP="00555AE4">
            <w:pPr>
              <w:rPr>
                <w:rFonts w:ascii="Segoe UI" w:eastAsia="Calibri" w:hAnsi="Segoe UI" w:cs="Segoe UI"/>
                <w:sz w:val="20"/>
                <w:szCs w:val="20"/>
              </w:rPr>
            </w:pPr>
            <w:r w:rsidRPr="00BB4D81">
              <w:rPr>
                <w:rFonts w:ascii="Segoe UI" w:eastAsia="Calibri" w:hAnsi="Segoe UI" w:cs="Segoe UI"/>
                <w:sz w:val="20"/>
                <w:szCs w:val="20"/>
              </w:rPr>
              <w:t xml:space="preserve">What is required at a CA to implement and manage a PPA system, including; </w:t>
            </w:r>
          </w:p>
          <w:p w14:paraId="7A1C27CD" w14:textId="77777777" w:rsidR="00AD35E7" w:rsidRPr="00BB4D81" w:rsidRDefault="00AD35E7" w:rsidP="008F1340">
            <w:pPr>
              <w:numPr>
                <w:ilvl w:val="0"/>
                <w:numId w:val="17"/>
              </w:numPr>
              <w:contextualSpacing/>
              <w:rPr>
                <w:rFonts w:ascii="Segoe UI" w:eastAsia="Calibri" w:hAnsi="Segoe UI" w:cs="Segoe UI"/>
                <w:sz w:val="20"/>
                <w:szCs w:val="20"/>
              </w:rPr>
            </w:pPr>
            <w:r w:rsidRPr="00BB4D81">
              <w:rPr>
                <w:rFonts w:ascii="Segoe UI" w:eastAsia="Calibri" w:hAnsi="Segoe UI" w:cs="Segoe UI"/>
                <w:sz w:val="20"/>
                <w:szCs w:val="20"/>
              </w:rPr>
              <w:t xml:space="preserve">Organisational Models and mandates of CA; </w:t>
            </w:r>
          </w:p>
          <w:p w14:paraId="252FCC39" w14:textId="77777777" w:rsidR="00AD35E7" w:rsidRPr="00BB4D81" w:rsidRDefault="00AD35E7" w:rsidP="008F1340">
            <w:pPr>
              <w:numPr>
                <w:ilvl w:val="0"/>
                <w:numId w:val="17"/>
              </w:numPr>
              <w:contextualSpacing/>
              <w:rPr>
                <w:rFonts w:ascii="Segoe UI" w:eastAsia="Calibri" w:hAnsi="Segoe UI" w:cs="Segoe UI"/>
                <w:sz w:val="20"/>
                <w:szCs w:val="20"/>
              </w:rPr>
            </w:pPr>
            <w:r w:rsidRPr="00BB4D81">
              <w:rPr>
                <w:rFonts w:ascii="Segoe UI" w:eastAsia="Calibri" w:hAnsi="Segoe UI" w:cs="Segoe UI"/>
                <w:sz w:val="20"/>
                <w:szCs w:val="20"/>
              </w:rPr>
              <w:t xml:space="preserve">Optimal Composition of Assessment Team; </w:t>
            </w:r>
          </w:p>
          <w:p w14:paraId="35BA7E26" w14:textId="77777777" w:rsidR="00AD35E7" w:rsidRPr="00BB4D81" w:rsidRDefault="00AD35E7" w:rsidP="008F1340">
            <w:pPr>
              <w:numPr>
                <w:ilvl w:val="0"/>
                <w:numId w:val="17"/>
              </w:numPr>
              <w:contextualSpacing/>
              <w:rPr>
                <w:rFonts w:ascii="Segoe UI" w:eastAsia="Calibri" w:hAnsi="Segoe UI" w:cs="Segoe UI"/>
                <w:sz w:val="20"/>
                <w:szCs w:val="20"/>
              </w:rPr>
            </w:pPr>
            <w:r w:rsidRPr="00BB4D81">
              <w:rPr>
                <w:rFonts w:ascii="Segoe UI" w:eastAsia="Calibri" w:hAnsi="Segoe UI" w:cs="Segoe UI"/>
                <w:sz w:val="20"/>
                <w:szCs w:val="20"/>
              </w:rPr>
              <w:t xml:space="preserve">Guidance given to BE/TE relating to PPA; </w:t>
            </w:r>
          </w:p>
        </w:tc>
      </w:tr>
      <w:tr w:rsidR="00AD35E7" w:rsidRPr="00BB4D81" w14:paraId="311917D9" w14:textId="77777777" w:rsidTr="00555AE4">
        <w:tc>
          <w:tcPr>
            <w:tcW w:w="9016" w:type="dxa"/>
          </w:tcPr>
          <w:p w14:paraId="11D19A4C" w14:textId="77777777" w:rsidR="00AD35E7" w:rsidRPr="00BB4D81" w:rsidRDefault="00AD35E7" w:rsidP="00555AE4">
            <w:pPr>
              <w:rPr>
                <w:rFonts w:ascii="Segoe UI" w:eastAsia="Calibri" w:hAnsi="Segoe UI" w:cs="Segoe UI"/>
                <w:b/>
                <w:bCs/>
                <w:sz w:val="20"/>
                <w:szCs w:val="20"/>
              </w:rPr>
            </w:pPr>
            <w:r w:rsidRPr="00BB4D81">
              <w:rPr>
                <w:rFonts w:ascii="Segoe UI" w:eastAsia="Calibri" w:hAnsi="Segoe UI" w:cs="Segoe UI"/>
                <w:b/>
                <w:bCs/>
                <w:sz w:val="20"/>
                <w:szCs w:val="20"/>
              </w:rPr>
              <w:t>Chapter 2: Preparation Process Authorisation (PPA) - Application:</w:t>
            </w:r>
          </w:p>
        </w:tc>
      </w:tr>
      <w:tr w:rsidR="00AD35E7" w:rsidRPr="00BB4D81" w14:paraId="389F016A" w14:textId="77777777" w:rsidTr="00555AE4">
        <w:tc>
          <w:tcPr>
            <w:tcW w:w="9016" w:type="dxa"/>
          </w:tcPr>
          <w:p w14:paraId="2AB4A930"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 xml:space="preserve">Application Process, including </w:t>
            </w:r>
            <w:r w:rsidRPr="00BB4D81">
              <w:rPr>
                <w:rFonts w:ascii="Segoe UI" w:eastAsia="Calibri" w:hAnsi="Segoe UI" w:cs="Segoe UI"/>
                <w:sz w:val="20"/>
                <w:szCs w:val="20"/>
                <w:u w:val="single"/>
              </w:rPr>
              <w:t>terms</w:t>
            </w:r>
            <w:r w:rsidRPr="00BB4D81">
              <w:rPr>
                <w:rFonts w:ascii="Segoe UI" w:eastAsia="Calibri" w:hAnsi="Segoe UI" w:cs="Segoe UI"/>
                <w:sz w:val="20"/>
                <w:szCs w:val="20"/>
              </w:rPr>
              <w:t xml:space="preserve"> and </w:t>
            </w:r>
            <w:r w:rsidRPr="00BB4D81">
              <w:rPr>
                <w:rFonts w:ascii="Segoe UI" w:eastAsia="Calibri" w:hAnsi="Segoe UI" w:cs="Segoe UI"/>
                <w:sz w:val="20"/>
                <w:szCs w:val="20"/>
                <w:u w:val="single"/>
              </w:rPr>
              <w:t>timing</w:t>
            </w:r>
            <w:r w:rsidRPr="00BB4D81">
              <w:rPr>
                <w:rFonts w:ascii="Segoe UI" w:eastAsia="Calibri" w:hAnsi="Segoe UI" w:cs="Segoe UI"/>
                <w:sz w:val="20"/>
                <w:szCs w:val="20"/>
              </w:rPr>
              <w:t xml:space="preserve"> of application; for; </w:t>
            </w:r>
          </w:p>
          <w:p w14:paraId="6FCB699B" w14:textId="77777777" w:rsidR="00AD35E7" w:rsidRPr="00BB4D81" w:rsidRDefault="00AD35E7" w:rsidP="00D779D6">
            <w:pPr>
              <w:numPr>
                <w:ilvl w:val="0"/>
                <w:numId w:val="18"/>
              </w:num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Changes to existing processes; </w:t>
            </w:r>
          </w:p>
          <w:p w14:paraId="699F50F9" w14:textId="77777777" w:rsidR="00AD35E7" w:rsidRPr="00BB4D81" w:rsidRDefault="00AD35E7" w:rsidP="00D779D6">
            <w:pPr>
              <w:ind w:left="720"/>
              <w:contextualSpacing/>
              <w:jc w:val="both"/>
              <w:rPr>
                <w:rFonts w:ascii="Segoe UI" w:eastAsia="Calibri" w:hAnsi="Segoe UI" w:cs="Segoe UI"/>
                <w:sz w:val="20"/>
                <w:szCs w:val="20"/>
              </w:rPr>
            </w:pPr>
            <w:r w:rsidRPr="00BB4D81">
              <w:rPr>
                <w:rFonts w:ascii="Segoe UI" w:eastAsia="Calibri" w:hAnsi="Segoe UI" w:cs="Segoe UI"/>
                <w:sz w:val="20"/>
                <w:szCs w:val="20"/>
              </w:rPr>
              <w:t xml:space="preserve">(Including definition of what substantial / significant changes require application for change in the PPA) </w:t>
            </w:r>
          </w:p>
          <w:p w14:paraId="1FF24F6E" w14:textId="77777777" w:rsidR="00AD35E7" w:rsidRPr="00BB4D81" w:rsidRDefault="00AD35E7" w:rsidP="00D779D6">
            <w:pPr>
              <w:numPr>
                <w:ilvl w:val="0"/>
                <w:numId w:val="18"/>
              </w:num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New / Novel Processes; </w:t>
            </w:r>
          </w:p>
          <w:p w14:paraId="2DDDE2D0" w14:textId="7020508F"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What risk assessment should be performed? (</w:t>
            </w:r>
            <w:r w:rsidR="0093210F">
              <w:rPr>
                <w:rFonts w:ascii="Segoe UI" w:eastAsia="Calibri" w:hAnsi="Segoe UI" w:cs="Segoe UI"/>
                <w:sz w:val="20"/>
                <w:szCs w:val="20"/>
              </w:rPr>
              <w:t>EURO</w:t>
            </w:r>
            <w:r w:rsidRPr="00BB4D81">
              <w:rPr>
                <w:rFonts w:ascii="Segoe UI" w:eastAsia="Calibri" w:hAnsi="Segoe UI" w:cs="Segoe UI"/>
                <w:sz w:val="20"/>
                <w:szCs w:val="20"/>
              </w:rPr>
              <w:t>GTPII / Others etc. application of Risk Assessment)</w:t>
            </w:r>
          </w:p>
          <w:p w14:paraId="345313B7"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 xml:space="preserve">What information / documentation is required to be provided in support of the application? </w:t>
            </w:r>
          </w:p>
          <w:p w14:paraId="72281843"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 xml:space="preserve">What technical aspects are to be considered (Link to Technical Work Packages) and provided in support of the application?  </w:t>
            </w:r>
          </w:p>
          <w:p w14:paraId="0737B8CE" w14:textId="77777777" w:rsidR="00AD35E7" w:rsidRPr="00BB4D81" w:rsidRDefault="00AD35E7" w:rsidP="00D779D6">
            <w:pPr>
              <w:numPr>
                <w:ilvl w:val="0"/>
                <w:numId w:val="19"/>
              </w:num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Authorisation of changes to activities performed by blood and tissue establishments (Work Package 6); </w:t>
            </w:r>
          </w:p>
          <w:p w14:paraId="7FB9710D" w14:textId="77777777" w:rsidR="00AD35E7" w:rsidRPr="00BB4D81" w:rsidRDefault="00AD35E7" w:rsidP="00D779D6">
            <w:pPr>
              <w:ind w:left="578"/>
              <w:contextualSpacing/>
              <w:jc w:val="both"/>
              <w:rPr>
                <w:rFonts w:ascii="Segoe UI" w:eastAsia="Calibri" w:hAnsi="Segoe UI" w:cs="Segoe UI"/>
                <w:sz w:val="20"/>
                <w:szCs w:val="20"/>
              </w:rPr>
            </w:pPr>
            <w:r w:rsidRPr="00BB4D81">
              <w:rPr>
                <w:rFonts w:ascii="Segoe UI" w:eastAsia="Calibri" w:hAnsi="Segoe UI" w:cs="Segoe UI"/>
                <w:sz w:val="20"/>
                <w:szCs w:val="20"/>
              </w:rPr>
              <w:t xml:space="preserve">Critical Process Parameters and Critical Quality Attributes – Extent of Validation; </w:t>
            </w:r>
          </w:p>
          <w:p w14:paraId="08330519" w14:textId="77777777" w:rsidR="00AD35E7" w:rsidRPr="00BB4D81" w:rsidRDefault="00AD35E7" w:rsidP="00D779D6">
            <w:pPr>
              <w:numPr>
                <w:ilvl w:val="0"/>
                <w:numId w:val="19"/>
              </w:numPr>
              <w:autoSpaceDE w:val="0"/>
              <w:autoSpaceDN w:val="0"/>
              <w:contextualSpacing/>
              <w:jc w:val="both"/>
              <w:rPr>
                <w:rFonts w:ascii="Segoe UI" w:eastAsia="Calibri" w:hAnsi="Segoe UI" w:cs="Segoe UI"/>
                <w:sz w:val="20"/>
                <w:szCs w:val="20"/>
              </w:rPr>
            </w:pPr>
            <w:r w:rsidRPr="00BB4D81">
              <w:rPr>
                <w:rFonts w:ascii="Segoe UI" w:eastAsia="Calibri" w:hAnsi="Segoe UI" w:cs="Segoe UI"/>
                <w:sz w:val="20"/>
                <w:szCs w:val="20"/>
              </w:rPr>
              <w:t>Assessing the quality and safety of donor testing, microbial inactivation and sterilisation steps as part of PPA (Work Package 7);</w:t>
            </w:r>
          </w:p>
          <w:p w14:paraId="28574FD9" w14:textId="77777777" w:rsidR="00AD35E7" w:rsidRPr="00BB4D81" w:rsidRDefault="00AD35E7" w:rsidP="00D779D6">
            <w:pPr>
              <w:numPr>
                <w:ilvl w:val="0"/>
                <w:numId w:val="19"/>
              </w:numPr>
              <w:contextualSpacing/>
              <w:jc w:val="both"/>
              <w:rPr>
                <w:rFonts w:ascii="Segoe UI" w:eastAsia="Calibri" w:hAnsi="Segoe UI" w:cs="Segoe UI"/>
                <w:sz w:val="20"/>
                <w:szCs w:val="20"/>
              </w:rPr>
            </w:pPr>
            <w:r w:rsidRPr="00BB4D81">
              <w:rPr>
                <w:rFonts w:ascii="Segoe UI" w:eastAsia="Calibri" w:hAnsi="Segoe UI" w:cs="Segoe UI"/>
                <w:sz w:val="20"/>
                <w:szCs w:val="20"/>
              </w:rPr>
              <w:t>Assessing Clinical data as part of PPA (Work Package 8);</w:t>
            </w:r>
          </w:p>
        </w:tc>
      </w:tr>
      <w:tr w:rsidR="00AD35E7" w:rsidRPr="00BB4D81" w14:paraId="4C69A6A5" w14:textId="77777777" w:rsidTr="00555AE4">
        <w:tc>
          <w:tcPr>
            <w:tcW w:w="9016" w:type="dxa"/>
          </w:tcPr>
          <w:p w14:paraId="47060138" w14:textId="77777777" w:rsidR="00AD35E7" w:rsidRPr="00BB4D81" w:rsidRDefault="00AD35E7" w:rsidP="00555AE4">
            <w:pPr>
              <w:rPr>
                <w:rFonts w:ascii="Segoe UI" w:eastAsia="Calibri" w:hAnsi="Segoe UI" w:cs="Segoe UI"/>
                <w:b/>
                <w:bCs/>
                <w:sz w:val="20"/>
                <w:szCs w:val="20"/>
              </w:rPr>
            </w:pPr>
            <w:r w:rsidRPr="00BB4D81">
              <w:rPr>
                <w:rFonts w:ascii="Segoe UI" w:eastAsia="Calibri" w:hAnsi="Segoe UI" w:cs="Segoe UI"/>
                <w:b/>
                <w:bCs/>
                <w:sz w:val="20"/>
                <w:szCs w:val="20"/>
              </w:rPr>
              <w:t>Chapter 3: Preparation Process Authorisation (PPA) - Review and Authorisation</w:t>
            </w:r>
          </w:p>
        </w:tc>
      </w:tr>
      <w:tr w:rsidR="00AD35E7" w:rsidRPr="00BB4D81" w14:paraId="57272033" w14:textId="77777777" w:rsidTr="00555AE4">
        <w:tc>
          <w:tcPr>
            <w:tcW w:w="9016" w:type="dxa"/>
          </w:tcPr>
          <w:p w14:paraId="0C2AF7F6"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What review and evaluation should be performed over data submitted in support of applications for authorisation? – Link to inspection systems</w:t>
            </w:r>
          </w:p>
          <w:p w14:paraId="6777610C"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Define a system for the approval / refusal of authorisation applications;</w:t>
            </w:r>
          </w:p>
          <w:p w14:paraId="69D2EA8A"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Define the scope and type of authorisations (Full / temporary / conditional);</w:t>
            </w:r>
          </w:p>
          <w:p w14:paraId="5B7CA086"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Maintenance and Management of PPA</w:t>
            </w:r>
          </w:p>
        </w:tc>
      </w:tr>
      <w:tr w:rsidR="00AD35E7" w:rsidRPr="00BB4D81" w14:paraId="305BC27F" w14:textId="77777777" w:rsidTr="00555AE4">
        <w:tc>
          <w:tcPr>
            <w:tcW w:w="9016" w:type="dxa"/>
          </w:tcPr>
          <w:p w14:paraId="130B3778" w14:textId="77777777" w:rsidR="00AD35E7" w:rsidRPr="00BB4D81" w:rsidRDefault="00AD35E7" w:rsidP="00D779D6">
            <w:pPr>
              <w:jc w:val="both"/>
              <w:rPr>
                <w:rFonts w:ascii="Segoe UI" w:eastAsia="Calibri" w:hAnsi="Segoe UI" w:cs="Segoe UI"/>
                <w:b/>
                <w:sz w:val="20"/>
                <w:szCs w:val="20"/>
              </w:rPr>
            </w:pPr>
            <w:r w:rsidRPr="00BB4D81">
              <w:rPr>
                <w:rFonts w:ascii="Segoe UI" w:eastAsia="Calibri" w:hAnsi="Segoe UI" w:cs="Segoe UI"/>
                <w:b/>
                <w:sz w:val="20"/>
                <w:szCs w:val="20"/>
              </w:rPr>
              <w:t>Appendices:</w:t>
            </w:r>
          </w:p>
        </w:tc>
      </w:tr>
      <w:tr w:rsidR="00AD35E7" w:rsidRPr="00BB4D81" w14:paraId="68A9A7AF" w14:textId="77777777" w:rsidTr="00555AE4">
        <w:tc>
          <w:tcPr>
            <w:tcW w:w="9016" w:type="dxa"/>
          </w:tcPr>
          <w:p w14:paraId="4B415C0D"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Process Flow from Application to Authorisation – Including actions to be taken at each step of the process – Defined Sequential Approach</w:t>
            </w:r>
          </w:p>
          <w:p w14:paraId="2575375D"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Template Application Form?</w:t>
            </w:r>
          </w:p>
          <w:p w14:paraId="1CD9C00E" w14:textId="77777777" w:rsidR="00AD35E7" w:rsidRPr="00BB4D81" w:rsidRDefault="00AD35E7" w:rsidP="00D779D6">
            <w:pPr>
              <w:jc w:val="both"/>
              <w:rPr>
                <w:rFonts w:ascii="Segoe UI" w:eastAsia="Calibri" w:hAnsi="Segoe UI" w:cs="Segoe UI"/>
                <w:sz w:val="20"/>
                <w:szCs w:val="20"/>
              </w:rPr>
            </w:pPr>
            <w:r w:rsidRPr="00BB4D81">
              <w:rPr>
                <w:rFonts w:ascii="Segoe UI" w:eastAsia="Calibri" w:hAnsi="Segoe UI" w:cs="Segoe UI"/>
                <w:sz w:val="20"/>
                <w:szCs w:val="20"/>
              </w:rPr>
              <w:t>Template PPA;</w:t>
            </w:r>
          </w:p>
        </w:tc>
      </w:tr>
    </w:tbl>
    <w:p w14:paraId="4F92D32B" w14:textId="678DFFB9" w:rsidR="00AD35E7" w:rsidRPr="00BB4D81" w:rsidRDefault="00D90918" w:rsidP="00AD35E7">
      <w:pPr>
        <w:jc w:val="both"/>
        <w:rPr>
          <w:rFonts w:ascii="Segoe UI" w:hAnsi="Segoe UI" w:cs="Segoe UI"/>
          <w:sz w:val="20"/>
          <w:szCs w:val="20"/>
        </w:rPr>
      </w:pPr>
      <w:r w:rsidRPr="00BB4D81">
        <w:rPr>
          <w:rFonts w:ascii="Segoe UI" w:hAnsi="Segoe UI" w:cs="Segoe UI"/>
          <w:sz w:val="20"/>
          <w:szCs w:val="20"/>
        </w:rPr>
        <w:t>Table 2: Initial Proposal for PPA Guidance Document</w:t>
      </w:r>
    </w:p>
    <w:p w14:paraId="4EBBF65B" w14:textId="292C0CD6" w:rsidR="00AD35E7" w:rsidRPr="00BB4D81" w:rsidRDefault="00AD35E7" w:rsidP="00AD35E7">
      <w:pPr>
        <w:jc w:val="both"/>
        <w:rPr>
          <w:rFonts w:ascii="Segoe UI" w:hAnsi="Segoe UI" w:cs="Segoe UI"/>
          <w:sz w:val="20"/>
          <w:szCs w:val="20"/>
        </w:rPr>
      </w:pPr>
      <w:r w:rsidRPr="00BB4D81">
        <w:rPr>
          <w:rFonts w:ascii="Segoe UI" w:hAnsi="Segoe UI" w:cs="Segoe UI"/>
          <w:sz w:val="20"/>
          <w:szCs w:val="20"/>
        </w:rPr>
        <w:t>Below</w:t>
      </w:r>
      <w:r w:rsidR="000A21BE" w:rsidRPr="00BB4D81">
        <w:rPr>
          <w:rFonts w:ascii="Segoe UI" w:hAnsi="Segoe UI" w:cs="Segoe UI"/>
          <w:sz w:val="20"/>
          <w:szCs w:val="20"/>
        </w:rPr>
        <w:t xml:space="preserve"> (table 3)</w:t>
      </w:r>
      <w:r w:rsidRPr="00BB4D81">
        <w:rPr>
          <w:rFonts w:ascii="Segoe UI" w:hAnsi="Segoe UI" w:cs="Segoe UI"/>
          <w:sz w:val="20"/>
          <w:szCs w:val="20"/>
        </w:rPr>
        <w:t xml:space="preserve"> are the questions used to evaluate the PPA frameworks in the different sectors alongside the relevant chapter of the proposed guidelines to which the question relate.</w:t>
      </w:r>
    </w:p>
    <w:p w14:paraId="1BE6E3D1" w14:textId="77777777" w:rsidR="00AD35E7" w:rsidRPr="00BB4D81" w:rsidRDefault="00AD35E7" w:rsidP="00AD35E7">
      <w:p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The framework for PPA in Medical Devices, Medicinal products, ATMP’s, Herbal and Homeopathic were reviewed against this common set of criteria / questions and the outcomes are discussed in this document. </w:t>
      </w:r>
    </w:p>
    <w:p w14:paraId="03BE8BD7" w14:textId="77777777" w:rsidR="00AD35E7" w:rsidRPr="00BB4D81" w:rsidRDefault="00AD35E7" w:rsidP="00AD35E7">
      <w:pPr>
        <w:autoSpaceDE w:val="0"/>
        <w:autoSpaceDN w:val="0"/>
        <w:adjustRightInd w:val="0"/>
        <w:spacing w:after="0" w:line="240" w:lineRule="auto"/>
        <w:jc w:val="both"/>
        <w:rPr>
          <w:rFonts w:ascii="Segoe UI" w:eastAsia="Calibri" w:hAnsi="Segoe UI" w:cs="Segoe UI"/>
          <w:sz w:val="20"/>
          <w:szCs w:val="20"/>
        </w:rPr>
      </w:pPr>
    </w:p>
    <w:p w14:paraId="78BE7A38" w14:textId="0D8E96DE" w:rsidR="00AD35E7" w:rsidRPr="00BB4D81" w:rsidRDefault="00AD35E7" w:rsidP="00AD35E7">
      <w:pPr>
        <w:rPr>
          <w:rFonts w:ascii="Segoe UI" w:eastAsia="Calibri" w:hAnsi="Segoe UI" w:cs="Segoe UI"/>
          <w:sz w:val="20"/>
          <w:szCs w:val="20"/>
        </w:rPr>
      </w:pPr>
      <w:r w:rsidRPr="00BB4D81">
        <w:rPr>
          <w:rFonts w:ascii="Segoe UI" w:eastAsia="Calibri" w:hAnsi="Segoe UI" w:cs="Segoe UI"/>
          <w:sz w:val="20"/>
          <w:szCs w:val="20"/>
        </w:rPr>
        <w:t>The documents reviewed in relation to the PPA frameworks are</w:t>
      </w:r>
      <w:r w:rsidR="008E5417">
        <w:rPr>
          <w:rFonts w:ascii="Segoe UI" w:eastAsia="Calibri" w:hAnsi="Segoe UI" w:cs="Segoe UI"/>
          <w:sz w:val="20"/>
          <w:szCs w:val="20"/>
        </w:rPr>
        <w:t xml:space="preserve"> included within </w:t>
      </w:r>
      <w:r w:rsidRPr="00BB4D81">
        <w:rPr>
          <w:rFonts w:ascii="Segoe UI" w:eastAsia="Calibri" w:hAnsi="Segoe UI" w:cs="Segoe UI"/>
          <w:sz w:val="20"/>
          <w:szCs w:val="20"/>
        </w:rPr>
        <w:t xml:space="preserve">Appendix 2 – </w:t>
      </w:r>
      <w:r w:rsidR="00F108C2">
        <w:rPr>
          <w:rFonts w:ascii="Segoe UI" w:eastAsia="Calibri" w:hAnsi="Segoe UI" w:cs="Segoe UI"/>
          <w:sz w:val="20"/>
          <w:szCs w:val="20"/>
        </w:rPr>
        <w:t xml:space="preserve">Bibliography </w:t>
      </w:r>
    </w:p>
    <w:p w14:paraId="6B4351E7" w14:textId="1DCEB7C2" w:rsidR="00AD35E7" w:rsidRPr="00BB4D81" w:rsidRDefault="00AD35E7" w:rsidP="00AD35E7">
      <w:pPr>
        <w:rPr>
          <w:rFonts w:ascii="Segoe UI" w:eastAsia="Calibri" w:hAnsi="Segoe UI" w:cs="Segoe UI"/>
          <w:sz w:val="20"/>
          <w:szCs w:val="20"/>
        </w:rPr>
      </w:pPr>
    </w:p>
    <w:tbl>
      <w:tblPr>
        <w:tblStyle w:val="TableGrid"/>
        <w:tblW w:w="0" w:type="auto"/>
        <w:tblLook w:val="04A0" w:firstRow="1" w:lastRow="0" w:firstColumn="1" w:lastColumn="0" w:noHBand="0" w:noVBand="1"/>
      </w:tblPr>
      <w:tblGrid>
        <w:gridCol w:w="9350"/>
      </w:tblGrid>
      <w:tr w:rsidR="006864D2" w:rsidRPr="00BB4D81" w14:paraId="4C6ED145" w14:textId="77777777" w:rsidTr="006864D2">
        <w:tc>
          <w:tcPr>
            <w:tcW w:w="9350" w:type="dxa"/>
          </w:tcPr>
          <w:p w14:paraId="0EB838FC" w14:textId="320FBEA0" w:rsidR="006864D2" w:rsidRPr="00BB4D81" w:rsidRDefault="006864D2" w:rsidP="00AD35E7">
            <w:pPr>
              <w:rPr>
                <w:rFonts w:ascii="Segoe UI" w:eastAsia="Calibri" w:hAnsi="Segoe UI" w:cs="Segoe UI"/>
                <w:sz w:val="20"/>
                <w:szCs w:val="20"/>
              </w:rPr>
            </w:pPr>
            <w:r w:rsidRPr="00BB4D81">
              <w:rPr>
                <w:rFonts w:ascii="Segoe UI" w:eastAsia="Calibri" w:hAnsi="Segoe UI" w:cs="Segoe UI"/>
                <w:sz w:val="20"/>
                <w:szCs w:val="20"/>
              </w:rPr>
              <w:t>Desk-Based Review</w:t>
            </w:r>
          </w:p>
        </w:tc>
      </w:tr>
      <w:tr w:rsidR="006864D2" w:rsidRPr="00BB4D81" w14:paraId="2766EF4E" w14:textId="77777777" w:rsidTr="006864D2">
        <w:tc>
          <w:tcPr>
            <w:tcW w:w="9350" w:type="dxa"/>
          </w:tcPr>
          <w:p w14:paraId="525F26F9" w14:textId="6038075C" w:rsidR="006864D2" w:rsidRPr="00BB4D81" w:rsidRDefault="006864D2" w:rsidP="006864D2">
            <w:pPr>
              <w:numPr>
                <w:ilvl w:val="0"/>
                <w:numId w:val="9"/>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 xml:space="preserve">Does the CA maintain a dossier that describes the details of the preparation / manufacturing process (i.e. a preparation process authorisation) – </w:t>
            </w:r>
            <w:r w:rsidRPr="00BB4D81">
              <w:rPr>
                <w:rFonts w:ascii="Segoe UI" w:eastAsia="Calibri" w:hAnsi="Segoe UI" w:cs="Segoe UI"/>
                <w:b/>
                <w:sz w:val="20"/>
                <w:szCs w:val="20"/>
              </w:rPr>
              <w:t>Chapter 1 (system at CA) and Chapter 3 (management and maintenance of PPA)</w:t>
            </w:r>
          </w:p>
        </w:tc>
      </w:tr>
      <w:tr w:rsidR="006864D2" w:rsidRPr="00BB4D81" w14:paraId="76797233" w14:textId="77777777" w:rsidTr="006864D2">
        <w:tc>
          <w:tcPr>
            <w:tcW w:w="9350" w:type="dxa"/>
          </w:tcPr>
          <w:p w14:paraId="5D4AE0A9" w14:textId="77777777" w:rsidR="006864D2" w:rsidRPr="00BB4D81" w:rsidRDefault="006864D2" w:rsidP="006864D2">
            <w:pPr>
              <w:numPr>
                <w:ilvl w:val="0"/>
                <w:numId w:val="9"/>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Are there defined procedures in relation to risk assessment or risk categorisation, if so:</w:t>
            </w:r>
          </w:p>
          <w:p w14:paraId="1C99A55D" w14:textId="77777777" w:rsidR="006864D2" w:rsidRPr="00BB4D81" w:rsidRDefault="006864D2" w:rsidP="006864D2">
            <w:pPr>
              <w:ind w:left="720"/>
              <w:contextualSpacing/>
              <w:jc w:val="both"/>
              <w:rPr>
                <w:rFonts w:ascii="Segoe UI" w:eastAsia="Calibri" w:hAnsi="Segoe UI" w:cs="Segoe UI"/>
                <w:sz w:val="20"/>
                <w:szCs w:val="20"/>
              </w:rPr>
            </w:pPr>
          </w:p>
          <w:p w14:paraId="4D699ED3" w14:textId="5CCD07AC" w:rsidR="006864D2" w:rsidRPr="00BB4D81" w:rsidRDefault="006864D2" w:rsidP="006864D2">
            <w:pPr>
              <w:numPr>
                <w:ilvl w:val="1"/>
                <w:numId w:val="8"/>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Are these procedures commonly defined at a European level, </w:t>
            </w:r>
            <w:r w:rsidR="005F0F28" w:rsidRPr="00BB4D81">
              <w:rPr>
                <w:rFonts w:ascii="Segoe UI" w:eastAsia="Calibri" w:hAnsi="Segoe UI" w:cs="Segoe UI"/>
                <w:sz w:val="20"/>
                <w:szCs w:val="20"/>
              </w:rPr>
              <w:t>e.g.</w:t>
            </w:r>
            <w:r w:rsidRPr="00BB4D81">
              <w:rPr>
                <w:rFonts w:ascii="Segoe UI" w:eastAsia="Calibri" w:hAnsi="Segoe UI" w:cs="Segoe UI"/>
                <w:sz w:val="20"/>
                <w:szCs w:val="20"/>
              </w:rPr>
              <w:t xml:space="preserve"> (EU Directives, EMA procedures, ISO or ICH procedures) or are they otherwise defined by professional associations or bodies? – (Chapter 2 </w:t>
            </w:r>
            <w:r w:rsidRPr="00BB4D81">
              <w:rPr>
                <w:rFonts w:ascii="Segoe UI" w:eastAsia="Calibri" w:hAnsi="Segoe UI" w:cs="Segoe UI"/>
                <w:i/>
                <w:sz w:val="20"/>
                <w:szCs w:val="20"/>
              </w:rPr>
              <w:t>risk assessment)</w:t>
            </w:r>
          </w:p>
          <w:p w14:paraId="67FEEDC6" w14:textId="77777777" w:rsidR="006864D2" w:rsidRPr="00BB4D81" w:rsidRDefault="006864D2" w:rsidP="006864D2">
            <w:pPr>
              <w:ind w:left="1440"/>
              <w:contextualSpacing/>
              <w:jc w:val="both"/>
              <w:rPr>
                <w:rFonts w:ascii="Segoe UI" w:eastAsia="Calibri" w:hAnsi="Segoe UI" w:cs="Segoe UI"/>
                <w:sz w:val="20"/>
                <w:szCs w:val="20"/>
              </w:rPr>
            </w:pPr>
          </w:p>
          <w:p w14:paraId="39F4BF10" w14:textId="161D9057" w:rsidR="006864D2" w:rsidRPr="00BB4D81" w:rsidRDefault="006864D2" w:rsidP="006864D2">
            <w:pPr>
              <w:numPr>
                <w:ilvl w:val="1"/>
                <w:numId w:val="8"/>
              </w:numPr>
              <w:spacing w:line="259" w:lineRule="auto"/>
              <w:contextualSpacing/>
              <w:jc w:val="both"/>
              <w:rPr>
                <w:rFonts w:ascii="Segoe UI" w:eastAsia="Calibri" w:hAnsi="Segoe UI" w:cs="Segoe UI"/>
                <w:i/>
                <w:sz w:val="20"/>
                <w:szCs w:val="20"/>
              </w:rPr>
            </w:pPr>
            <w:r w:rsidRPr="00BB4D81">
              <w:rPr>
                <w:rFonts w:ascii="Segoe UI" w:eastAsia="Calibri" w:hAnsi="Segoe UI" w:cs="Segoe UI"/>
                <w:sz w:val="20"/>
                <w:szCs w:val="20"/>
              </w:rPr>
              <w:t>Are the risk categories comp</w:t>
            </w:r>
            <w:r w:rsidR="0093210F">
              <w:rPr>
                <w:rFonts w:ascii="Segoe UI" w:eastAsia="Calibri" w:hAnsi="Segoe UI" w:cs="Segoe UI"/>
                <w:sz w:val="20"/>
                <w:szCs w:val="20"/>
              </w:rPr>
              <w:t>arable to those defined by EURO</w:t>
            </w:r>
            <w:r w:rsidRPr="00BB4D81">
              <w:rPr>
                <w:rFonts w:ascii="Segoe UI" w:eastAsia="Calibri" w:hAnsi="Segoe UI" w:cs="Segoe UI"/>
                <w:sz w:val="20"/>
                <w:szCs w:val="20"/>
              </w:rPr>
              <w:t xml:space="preserve">GTP II and where could they be considered to be aligned? – (Chapter 2 </w:t>
            </w:r>
            <w:r w:rsidRPr="00BB4D81">
              <w:rPr>
                <w:rFonts w:ascii="Segoe UI" w:eastAsia="Calibri" w:hAnsi="Segoe UI" w:cs="Segoe UI"/>
                <w:i/>
                <w:sz w:val="20"/>
                <w:szCs w:val="20"/>
              </w:rPr>
              <w:t>risk assessment)</w:t>
            </w:r>
          </w:p>
          <w:p w14:paraId="7D52A57F" w14:textId="77777777" w:rsidR="006864D2" w:rsidRPr="00BB4D81" w:rsidRDefault="006864D2" w:rsidP="006864D2">
            <w:pPr>
              <w:ind w:left="720"/>
              <w:contextualSpacing/>
              <w:rPr>
                <w:rFonts w:ascii="Segoe UI" w:eastAsia="Calibri" w:hAnsi="Segoe UI" w:cs="Segoe UI"/>
                <w:sz w:val="20"/>
                <w:szCs w:val="20"/>
              </w:rPr>
            </w:pPr>
          </w:p>
          <w:p w14:paraId="252ACFFA" w14:textId="63A2E8BE" w:rsidR="006864D2" w:rsidRPr="00BB4D81" w:rsidRDefault="006864D2" w:rsidP="006864D2">
            <w:pPr>
              <w:numPr>
                <w:ilvl w:val="1"/>
                <w:numId w:val="8"/>
              </w:numPr>
              <w:spacing w:line="259" w:lineRule="auto"/>
              <w:contextualSpacing/>
              <w:jc w:val="both"/>
              <w:rPr>
                <w:rFonts w:ascii="Segoe UI" w:eastAsia="Calibri" w:hAnsi="Segoe UI" w:cs="Segoe UI"/>
                <w:i/>
                <w:sz w:val="20"/>
                <w:szCs w:val="20"/>
              </w:rPr>
            </w:pPr>
            <w:r w:rsidRPr="00BB4D81">
              <w:rPr>
                <w:rFonts w:ascii="Segoe UI" w:eastAsia="Calibri" w:hAnsi="Segoe UI" w:cs="Segoe UI"/>
                <w:sz w:val="20"/>
                <w:szCs w:val="20"/>
              </w:rPr>
              <w:t xml:space="preserve">Is there a system for risk categorisation or grading of changes in processes which links to specific requirements in relation to regulatory approval of the change? – (Chapter 2 </w:t>
            </w:r>
            <w:r w:rsidRPr="00BB4D81">
              <w:rPr>
                <w:rFonts w:ascii="Segoe UI" w:eastAsia="Calibri" w:hAnsi="Segoe UI" w:cs="Segoe UI"/>
                <w:i/>
                <w:sz w:val="20"/>
                <w:szCs w:val="20"/>
              </w:rPr>
              <w:t>risk assessment)</w:t>
            </w:r>
          </w:p>
        </w:tc>
      </w:tr>
      <w:tr w:rsidR="006864D2" w:rsidRPr="00BB4D81" w14:paraId="4FF0114B" w14:textId="77777777" w:rsidTr="006864D2">
        <w:tc>
          <w:tcPr>
            <w:tcW w:w="9350" w:type="dxa"/>
          </w:tcPr>
          <w:p w14:paraId="3450C4B2" w14:textId="77777777" w:rsidR="006864D2" w:rsidRPr="00BB4D81" w:rsidRDefault="006864D2" w:rsidP="006864D2">
            <w:pPr>
              <w:numPr>
                <w:ilvl w:val="0"/>
                <w:numId w:val="9"/>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Is there a specific set of documents which provide </w:t>
            </w:r>
            <w:r w:rsidRPr="00BB4D81">
              <w:rPr>
                <w:rFonts w:ascii="Segoe UI" w:eastAsia="Calibri" w:hAnsi="Segoe UI" w:cs="Segoe UI"/>
                <w:b/>
                <w:sz w:val="20"/>
                <w:szCs w:val="20"/>
                <w:u w:val="single"/>
              </w:rPr>
              <w:t xml:space="preserve">guidance to applicants </w:t>
            </w:r>
            <w:r w:rsidRPr="00BB4D81">
              <w:rPr>
                <w:rFonts w:ascii="Segoe UI" w:eastAsia="Calibri" w:hAnsi="Segoe UI" w:cs="Segoe UI"/>
                <w:sz w:val="20"/>
                <w:szCs w:val="20"/>
                <w:u w:val="single"/>
              </w:rPr>
              <w:t>(Chapter 1) on</w:t>
            </w:r>
            <w:r w:rsidRPr="00BB4D81">
              <w:rPr>
                <w:rFonts w:ascii="Segoe UI" w:eastAsia="Calibri" w:hAnsi="Segoe UI" w:cs="Segoe UI"/>
                <w:b/>
                <w:sz w:val="20"/>
                <w:szCs w:val="20"/>
                <w:u w:val="single"/>
              </w:rPr>
              <w:t>:</w:t>
            </w:r>
          </w:p>
          <w:p w14:paraId="1996C1D9" w14:textId="77777777" w:rsidR="006864D2" w:rsidRPr="00BB4D81" w:rsidRDefault="006864D2" w:rsidP="006864D2">
            <w:pPr>
              <w:ind w:left="1440"/>
              <w:contextualSpacing/>
              <w:jc w:val="both"/>
              <w:rPr>
                <w:rFonts w:ascii="Segoe UI" w:eastAsia="Calibri" w:hAnsi="Segoe UI" w:cs="Segoe UI"/>
                <w:sz w:val="20"/>
                <w:szCs w:val="20"/>
              </w:rPr>
            </w:pPr>
          </w:p>
          <w:p w14:paraId="47976BDC" w14:textId="77777777" w:rsidR="006864D2" w:rsidRPr="00BB4D81" w:rsidRDefault="006864D2" w:rsidP="006864D2">
            <w:pPr>
              <w:numPr>
                <w:ilvl w:val="0"/>
                <w:numId w:val="10"/>
              </w:numPr>
              <w:spacing w:line="259" w:lineRule="auto"/>
              <w:contextualSpacing/>
              <w:jc w:val="both"/>
              <w:rPr>
                <w:rFonts w:ascii="Segoe UI" w:eastAsia="Calibri" w:hAnsi="Segoe UI" w:cs="Segoe UI"/>
                <w:i/>
                <w:sz w:val="20"/>
                <w:szCs w:val="20"/>
              </w:rPr>
            </w:pPr>
            <w:r w:rsidRPr="00BB4D81">
              <w:rPr>
                <w:rFonts w:ascii="Segoe UI" w:eastAsia="Calibri" w:hAnsi="Segoe UI" w:cs="Segoe UI"/>
                <w:sz w:val="20"/>
                <w:szCs w:val="20"/>
              </w:rPr>
              <w:t xml:space="preserve">What data is required to support an authorisation and how that data is to be presented? – (Chapter 2 </w:t>
            </w:r>
            <w:r w:rsidRPr="00BB4D81">
              <w:rPr>
                <w:rFonts w:ascii="Segoe UI" w:eastAsia="Calibri" w:hAnsi="Segoe UI" w:cs="Segoe UI"/>
                <w:i/>
                <w:sz w:val="20"/>
                <w:szCs w:val="20"/>
              </w:rPr>
              <w:t>information to be submitted in support of application)</w:t>
            </w:r>
          </w:p>
          <w:p w14:paraId="1711C272" w14:textId="77777777" w:rsidR="006864D2" w:rsidRPr="00BB4D81" w:rsidRDefault="006864D2" w:rsidP="006864D2">
            <w:pPr>
              <w:ind w:left="2160"/>
              <w:contextualSpacing/>
              <w:jc w:val="both"/>
              <w:rPr>
                <w:rFonts w:ascii="Segoe UI" w:eastAsia="Calibri" w:hAnsi="Segoe UI" w:cs="Segoe UI"/>
                <w:sz w:val="20"/>
                <w:szCs w:val="20"/>
              </w:rPr>
            </w:pPr>
          </w:p>
          <w:p w14:paraId="1F5D5BFE" w14:textId="77777777" w:rsidR="006864D2" w:rsidRPr="00BB4D81" w:rsidRDefault="006864D2" w:rsidP="006864D2">
            <w:pPr>
              <w:numPr>
                <w:ilvl w:val="0"/>
                <w:numId w:val="10"/>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Is there specific guidance in relation to the definition of the following specific aspects? – `(Chapter 2 </w:t>
            </w:r>
            <w:r w:rsidRPr="00BB4D81">
              <w:rPr>
                <w:rFonts w:ascii="Segoe UI" w:eastAsia="Calibri" w:hAnsi="Segoe UI" w:cs="Segoe UI"/>
                <w:i/>
                <w:sz w:val="20"/>
                <w:szCs w:val="20"/>
              </w:rPr>
              <w:t>information to be submitted in support of application)</w:t>
            </w:r>
          </w:p>
          <w:p w14:paraId="5B9EEB2D" w14:textId="77777777" w:rsidR="006864D2" w:rsidRPr="00BB4D81" w:rsidRDefault="006864D2" w:rsidP="006864D2">
            <w:pPr>
              <w:ind w:left="1440"/>
              <w:contextualSpacing/>
              <w:jc w:val="both"/>
              <w:rPr>
                <w:rFonts w:ascii="Segoe UI" w:eastAsia="Calibri" w:hAnsi="Segoe UI" w:cs="Segoe UI"/>
                <w:sz w:val="20"/>
                <w:szCs w:val="20"/>
              </w:rPr>
            </w:pPr>
          </w:p>
          <w:p w14:paraId="7AB0F742" w14:textId="77777777" w:rsidR="006864D2" w:rsidRPr="00BB4D81" w:rsidRDefault="006864D2" w:rsidP="006864D2">
            <w:pPr>
              <w:ind w:left="1440" w:hanging="720"/>
              <w:jc w:val="both"/>
              <w:rPr>
                <w:rFonts w:ascii="Segoe UI" w:eastAsia="Calibri" w:hAnsi="Segoe UI" w:cs="Segoe UI"/>
                <w:sz w:val="20"/>
                <w:szCs w:val="20"/>
              </w:rPr>
            </w:pPr>
            <w:r w:rsidRPr="00BB4D81">
              <w:rPr>
                <w:rFonts w:ascii="Segoe UI" w:eastAsia="Calibri" w:hAnsi="Segoe UI" w:cs="Segoe UI"/>
                <w:sz w:val="20"/>
                <w:szCs w:val="20"/>
              </w:rPr>
              <w:tab/>
              <w:t xml:space="preserve">a. </w:t>
            </w:r>
            <w:r w:rsidRPr="00BB4D81">
              <w:rPr>
                <w:rFonts w:ascii="Segoe UI" w:eastAsia="Calibri" w:hAnsi="Segoe UI" w:cs="Segoe UI"/>
                <w:sz w:val="20"/>
                <w:szCs w:val="20"/>
              </w:rPr>
              <w:tab/>
              <w:t xml:space="preserve">Control of starting materials </w:t>
            </w:r>
          </w:p>
          <w:p w14:paraId="720A9DFA" w14:textId="77777777" w:rsidR="006864D2" w:rsidRPr="00BB4D81" w:rsidRDefault="006864D2" w:rsidP="006864D2">
            <w:pPr>
              <w:ind w:left="1440" w:hanging="720"/>
              <w:jc w:val="both"/>
              <w:rPr>
                <w:rFonts w:ascii="Segoe UI" w:eastAsia="Calibri" w:hAnsi="Segoe UI" w:cs="Segoe UI"/>
                <w:sz w:val="20"/>
                <w:szCs w:val="20"/>
              </w:rPr>
            </w:pPr>
            <w:r w:rsidRPr="00BB4D81">
              <w:rPr>
                <w:rFonts w:ascii="Segoe UI" w:eastAsia="Calibri" w:hAnsi="Segoe UI" w:cs="Segoe UI"/>
                <w:sz w:val="20"/>
                <w:szCs w:val="20"/>
              </w:rPr>
              <w:tab/>
              <w:t>b.</w:t>
            </w:r>
            <w:r w:rsidRPr="00BB4D81">
              <w:rPr>
                <w:rFonts w:ascii="Segoe UI" w:eastAsia="Calibri" w:hAnsi="Segoe UI" w:cs="Segoe UI"/>
                <w:sz w:val="20"/>
                <w:szCs w:val="20"/>
              </w:rPr>
              <w:tab/>
              <w:t>Critical Processing Parameters (CPPs) and their control</w:t>
            </w:r>
          </w:p>
          <w:p w14:paraId="1C5B7B88" w14:textId="77777777" w:rsidR="006864D2" w:rsidRPr="00BB4D81" w:rsidRDefault="006864D2" w:rsidP="006864D2">
            <w:pPr>
              <w:ind w:left="1440" w:hanging="720"/>
              <w:jc w:val="both"/>
              <w:rPr>
                <w:rFonts w:ascii="Segoe UI" w:eastAsia="Calibri" w:hAnsi="Segoe UI" w:cs="Segoe UI"/>
                <w:sz w:val="20"/>
                <w:szCs w:val="20"/>
              </w:rPr>
            </w:pPr>
            <w:r w:rsidRPr="00BB4D81">
              <w:rPr>
                <w:rFonts w:ascii="Segoe UI" w:eastAsia="Calibri" w:hAnsi="Segoe UI" w:cs="Segoe UI"/>
                <w:sz w:val="20"/>
                <w:szCs w:val="20"/>
              </w:rPr>
              <w:tab/>
              <w:t>c.</w:t>
            </w:r>
            <w:r w:rsidRPr="00BB4D81">
              <w:rPr>
                <w:rFonts w:ascii="Segoe UI" w:eastAsia="Calibri" w:hAnsi="Segoe UI" w:cs="Segoe UI"/>
                <w:sz w:val="20"/>
                <w:szCs w:val="20"/>
              </w:rPr>
              <w:tab/>
              <w:t>Process validation</w:t>
            </w:r>
          </w:p>
          <w:p w14:paraId="7C9EBFAF" w14:textId="77777777" w:rsidR="006864D2" w:rsidRPr="00BB4D81" w:rsidRDefault="006864D2" w:rsidP="006864D2">
            <w:pPr>
              <w:ind w:left="2160" w:hanging="720"/>
              <w:jc w:val="both"/>
              <w:rPr>
                <w:rFonts w:ascii="Segoe UI" w:eastAsia="Calibri" w:hAnsi="Segoe UI" w:cs="Segoe UI"/>
                <w:sz w:val="20"/>
                <w:szCs w:val="20"/>
              </w:rPr>
            </w:pPr>
            <w:r w:rsidRPr="00BB4D81">
              <w:rPr>
                <w:rFonts w:ascii="Segoe UI" w:eastAsia="Calibri" w:hAnsi="Segoe UI" w:cs="Segoe UI"/>
                <w:sz w:val="20"/>
                <w:szCs w:val="20"/>
              </w:rPr>
              <w:t>d.</w:t>
            </w:r>
            <w:r w:rsidRPr="00BB4D81">
              <w:rPr>
                <w:rFonts w:ascii="Segoe UI" w:eastAsia="Calibri" w:hAnsi="Segoe UI" w:cs="Segoe UI"/>
                <w:sz w:val="20"/>
                <w:szCs w:val="20"/>
              </w:rPr>
              <w:tab/>
              <w:t>Product Characterisation / Critical Quality Attributes (CQAs) and the       relationship to CPPs.</w:t>
            </w:r>
          </w:p>
          <w:p w14:paraId="712C8E03" w14:textId="77777777" w:rsidR="006864D2" w:rsidRPr="00BB4D81" w:rsidRDefault="006864D2" w:rsidP="006864D2">
            <w:pPr>
              <w:ind w:left="2160" w:hanging="720"/>
              <w:jc w:val="both"/>
              <w:rPr>
                <w:rFonts w:ascii="Segoe UI" w:eastAsia="Calibri" w:hAnsi="Segoe UI" w:cs="Segoe UI"/>
                <w:sz w:val="20"/>
                <w:szCs w:val="20"/>
              </w:rPr>
            </w:pPr>
            <w:r w:rsidRPr="00BB4D81">
              <w:rPr>
                <w:rFonts w:ascii="Segoe UI" w:eastAsia="Calibri" w:hAnsi="Segoe UI" w:cs="Segoe UI"/>
                <w:sz w:val="20"/>
                <w:szCs w:val="20"/>
              </w:rPr>
              <w:t>e.</w:t>
            </w:r>
            <w:r w:rsidRPr="00BB4D81">
              <w:rPr>
                <w:rFonts w:ascii="Segoe UI" w:eastAsia="Calibri" w:hAnsi="Segoe UI" w:cs="Segoe UI"/>
                <w:sz w:val="20"/>
                <w:szCs w:val="20"/>
              </w:rPr>
              <w:tab/>
              <w:t>Justification of specifications</w:t>
            </w:r>
          </w:p>
          <w:p w14:paraId="55510997" w14:textId="77777777" w:rsidR="006864D2" w:rsidRPr="00BB4D81" w:rsidRDefault="006864D2" w:rsidP="006864D2">
            <w:pPr>
              <w:ind w:left="2160" w:hanging="720"/>
              <w:jc w:val="both"/>
              <w:rPr>
                <w:rFonts w:ascii="Segoe UI" w:eastAsia="Calibri" w:hAnsi="Segoe UI" w:cs="Segoe UI"/>
                <w:sz w:val="20"/>
                <w:szCs w:val="20"/>
              </w:rPr>
            </w:pPr>
            <w:r w:rsidRPr="00BB4D81">
              <w:rPr>
                <w:rFonts w:ascii="Segoe UI" w:eastAsia="Calibri" w:hAnsi="Segoe UI" w:cs="Segoe UI"/>
                <w:sz w:val="20"/>
                <w:szCs w:val="20"/>
              </w:rPr>
              <w:t>f.</w:t>
            </w:r>
            <w:r w:rsidRPr="00BB4D81">
              <w:rPr>
                <w:rFonts w:ascii="Segoe UI" w:eastAsia="Calibri" w:hAnsi="Segoe UI" w:cs="Segoe UI"/>
                <w:sz w:val="20"/>
                <w:szCs w:val="20"/>
              </w:rPr>
              <w:tab/>
              <w:t>Development studies</w:t>
            </w:r>
          </w:p>
          <w:p w14:paraId="20E9D37A" w14:textId="77777777" w:rsidR="006864D2" w:rsidRPr="00BB4D81" w:rsidRDefault="006864D2" w:rsidP="006864D2">
            <w:pPr>
              <w:ind w:left="2160" w:hanging="720"/>
              <w:jc w:val="both"/>
              <w:rPr>
                <w:rFonts w:ascii="Segoe UI" w:eastAsia="Calibri" w:hAnsi="Segoe UI" w:cs="Segoe UI"/>
                <w:sz w:val="20"/>
                <w:szCs w:val="20"/>
              </w:rPr>
            </w:pPr>
            <w:r w:rsidRPr="00BB4D81">
              <w:rPr>
                <w:rFonts w:ascii="Segoe UI" w:eastAsia="Calibri" w:hAnsi="Segoe UI" w:cs="Segoe UI"/>
                <w:sz w:val="20"/>
                <w:szCs w:val="20"/>
              </w:rPr>
              <w:t>g.</w:t>
            </w:r>
            <w:r w:rsidRPr="00BB4D81">
              <w:rPr>
                <w:rFonts w:ascii="Segoe UI" w:eastAsia="Calibri" w:hAnsi="Segoe UI" w:cs="Segoe UI"/>
                <w:sz w:val="20"/>
                <w:szCs w:val="20"/>
              </w:rPr>
              <w:tab/>
              <w:t>Microbiological attributes</w:t>
            </w:r>
          </w:p>
          <w:p w14:paraId="4562BF32" w14:textId="77777777" w:rsidR="006864D2" w:rsidRPr="00BB4D81" w:rsidRDefault="006864D2" w:rsidP="006864D2">
            <w:pPr>
              <w:ind w:left="2160" w:hanging="720"/>
              <w:jc w:val="both"/>
              <w:rPr>
                <w:rFonts w:ascii="Segoe UI" w:eastAsia="Calibri" w:hAnsi="Segoe UI" w:cs="Segoe UI"/>
                <w:sz w:val="20"/>
                <w:szCs w:val="20"/>
              </w:rPr>
            </w:pPr>
            <w:r w:rsidRPr="00BB4D81">
              <w:rPr>
                <w:rFonts w:ascii="Segoe UI" w:eastAsia="Calibri" w:hAnsi="Segoe UI" w:cs="Segoe UI"/>
                <w:sz w:val="20"/>
                <w:szCs w:val="20"/>
              </w:rPr>
              <w:t>h.</w:t>
            </w:r>
            <w:r w:rsidRPr="00BB4D81">
              <w:rPr>
                <w:rFonts w:ascii="Segoe UI" w:eastAsia="Calibri" w:hAnsi="Segoe UI" w:cs="Segoe UI"/>
                <w:sz w:val="20"/>
                <w:szCs w:val="20"/>
              </w:rPr>
              <w:tab/>
              <w:t>Clinical efficacy</w:t>
            </w:r>
          </w:p>
          <w:p w14:paraId="784DACC3" w14:textId="77777777" w:rsidR="006864D2" w:rsidRPr="00BB4D81" w:rsidRDefault="006864D2" w:rsidP="006864D2">
            <w:pPr>
              <w:ind w:left="2160" w:hanging="720"/>
              <w:jc w:val="both"/>
              <w:rPr>
                <w:rFonts w:ascii="Segoe UI" w:eastAsia="Calibri" w:hAnsi="Segoe UI" w:cs="Segoe UI"/>
                <w:sz w:val="20"/>
                <w:szCs w:val="20"/>
              </w:rPr>
            </w:pPr>
            <w:r w:rsidRPr="00BB4D81">
              <w:rPr>
                <w:rFonts w:ascii="Segoe UI" w:eastAsia="Calibri" w:hAnsi="Segoe UI" w:cs="Segoe UI"/>
                <w:sz w:val="20"/>
                <w:szCs w:val="20"/>
              </w:rPr>
              <w:t>i.</w:t>
            </w:r>
            <w:r w:rsidRPr="00BB4D81">
              <w:rPr>
                <w:rFonts w:ascii="Segoe UI" w:eastAsia="Calibri" w:hAnsi="Segoe UI" w:cs="Segoe UI"/>
                <w:sz w:val="20"/>
                <w:szCs w:val="20"/>
              </w:rPr>
              <w:tab/>
              <w:t>Clinical safety</w:t>
            </w:r>
          </w:p>
          <w:p w14:paraId="56E9BF9B" w14:textId="77777777" w:rsidR="006864D2" w:rsidRPr="00BB4D81" w:rsidRDefault="006864D2" w:rsidP="006864D2">
            <w:pPr>
              <w:ind w:left="2160" w:hanging="720"/>
              <w:jc w:val="both"/>
              <w:rPr>
                <w:rFonts w:ascii="Segoe UI" w:eastAsia="Calibri" w:hAnsi="Segoe UI" w:cs="Segoe UI"/>
                <w:sz w:val="20"/>
                <w:szCs w:val="20"/>
              </w:rPr>
            </w:pPr>
            <w:r w:rsidRPr="00BB4D81">
              <w:rPr>
                <w:rFonts w:ascii="Segoe UI" w:eastAsia="Calibri" w:hAnsi="Segoe UI" w:cs="Segoe UI"/>
                <w:sz w:val="20"/>
                <w:szCs w:val="20"/>
              </w:rPr>
              <w:t xml:space="preserve">j.  </w:t>
            </w:r>
            <w:r w:rsidRPr="00BB4D81">
              <w:rPr>
                <w:rFonts w:ascii="Segoe UI" w:eastAsia="Calibri" w:hAnsi="Segoe UI" w:cs="Segoe UI"/>
                <w:sz w:val="20"/>
                <w:szCs w:val="20"/>
              </w:rPr>
              <w:tab/>
              <w:t>Storage requirements</w:t>
            </w:r>
          </w:p>
          <w:p w14:paraId="6068866E" w14:textId="77777777" w:rsidR="006864D2" w:rsidRPr="00BB4D81" w:rsidRDefault="006864D2" w:rsidP="006864D2">
            <w:pPr>
              <w:jc w:val="both"/>
              <w:rPr>
                <w:rFonts w:ascii="Segoe UI" w:eastAsia="Calibri" w:hAnsi="Segoe UI" w:cs="Segoe UI"/>
                <w:sz w:val="20"/>
                <w:szCs w:val="20"/>
              </w:rPr>
            </w:pPr>
          </w:p>
          <w:p w14:paraId="24FA2419" w14:textId="77777777" w:rsidR="006864D2" w:rsidRPr="00BB4D81" w:rsidRDefault="006864D2" w:rsidP="006864D2">
            <w:pPr>
              <w:numPr>
                <w:ilvl w:val="0"/>
                <w:numId w:val="10"/>
              </w:numPr>
              <w:spacing w:line="259" w:lineRule="auto"/>
              <w:contextualSpacing/>
              <w:jc w:val="both"/>
              <w:rPr>
                <w:rFonts w:ascii="Segoe UI" w:eastAsia="Calibri" w:hAnsi="Segoe UI" w:cs="Segoe UI"/>
                <w:i/>
                <w:sz w:val="20"/>
                <w:szCs w:val="20"/>
              </w:rPr>
            </w:pPr>
            <w:r w:rsidRPr="00BB4D81">
              <w:rPr>
                <w:rFonts w:ascii="Segoe UI" w:eastAsia="Calibri" w:hAnsi="Segoe UI" w:cs="Segoe UI"/>
                <w:sz w:val="20"/>
                <w:szCs w:val="20"/>
              </w:rPr>
              <w:t xml:space="preserve">The scope or extent of clinical evaluation studies or trials required to be performed in support of authorisation? – (Chapter 2 </w:t>
            </w:r>
            <w:r w:rsidRPr="00BB4D81">
              <w:rPr>
                <w:rFonts w:ascii="Segoe UI" w:eastAsia="Calibri" w:hAnsi="Segoe UI" w:cs="Segoe UI"/>
                <w:i/>
                <w:sz w:val="20"/>
                <w:szCs w:val="20"/>
              </w:rPr>
              <w:t>clinical evaluation)</w:t>
            </w:r>
          </w:p>
          <w:p w14:paraId="2B478968" w14:textId="77777777" w:rsidR="006864D2" w:rsidRPr="00BB4D81" w:rsidRDefault="006864D2" w:rsidP="006864D2">
            <w:pPr>
              <w:ind w:left="1800"/>
              <w:contextualSpacing/>
              <w:jc w:val="both"/>
              <w:rPr>
                <w:rFonts w:ascii="Segoe UI" w:eastAsia="Calibri" w:hAnsi="Segoe UI" w:cs="Segoe UI"/>
                <w:sz w:val="20"/>
                <w:szCs w:val="20"/>
              </w:rPr>
            </w:pPr>
          </w:p>
          <w:p w14:paraId="726F28B4" w14:textId="77777777" w:rsidR="006864D2" w:rsidRPr="00BB4D81" w:rsidRDefault="006864D2" w:rsidP="006864D2">
            <w:pPr>
              <w:numPr>
                <w:ilvl w:val="0"/>
                <w:numId w:val="10"/>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If there is guidance on the scope and extent of clinical evaluation studies or trials, is it risk based and related to a categorisation of the product? – (Chapter 2 </w:t>
            </w:r>
            <w:r w:rsidRPr="00BB4D81">
              <w:rPr>
                <w:rFonts w:ascii="Segoe UI" w:eastAsia="Calibri" w:hAnsi="Segoe UI" w:cs="Segoe UI"/>
                <w:i/>
                <w:sz w:val="20"/>
                <w:szCs w:val="20"/>
              </w:rPr>
              <w:t>clinical evaluation)</w:t>
            </w:r>
          </w:p>
          <w:p w14:paraId="2D797DFF" w14:textId="77777777" w:rsidR="006864D2" w:rsidRPr="00BB4D81" w:rsidRDefault="006864D2" w:rsidP="006864D2">
            <w:pPr>
              <w:ind w:left="1800"/>
              <w:contextualSpacing/>
              <w:jc w:val="both"/>
              <w:rPr>
                <w:rFonts w:ascii="Segoe UI" w:eastAsia="Calibri" w:hAnsi="Segoe UI" w:cs="Segoe UI"/>
                <w:sz w:val="20"/>
                <w:szCs w:val="20"/>
              </w:rPr>
            </w:pPr>
          </w:p>
          <w:p w14:paraId="28E37C2D" w14:textId="77777777" w:rsidR="006864D2" w:rsidRPr="00BB4D81" w:rsidRDefault="006864D2" w:rsidP="006864D2">
            <w:pPr>
              <w:numPr>
                <w:ilvl w:val="0"/>
                <w:numId w:val="10"/>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Does the framework have a provision for the conditional or provisional authorisation of the relevant product? if so: - (Chapter 3 </w:t>
            </w:r>
            <w:r w:rsidRPr="00BB4D81">
              <w:rPr>
                <w:rFonts w:ascii="Segoe UI" w:eastAsia="Calibri" w:hAnsi="Segoe UI" w:cs="Segoe UI"/>
                <w:i/>
                <w:sz w:val="20"/>
                <w:szCs w:val="20"/>
              </w:rPr>
              <w:t>scope of authorisation)</w:t>
            </w:r>
          </w:p>
          <w:p w14:paraId="3A1F8A56" w14:textId="77777777" w:rsidR="006864D2" w:rsidRPr="00BB4D81" w:rsidRDefault="006864D2" w:rsidP="006864D2">
            <w:pPr>
              <w:ind w:left="1440"/>
              <w:contextualSpacing/>
              <w:jc w:val="both"/>
              <w:rPr>
                <w:rFonts w:ascii="Segoe UI" w:eastAsia="Calibri" w:hAnsi="Segoe UI" w:cs="Segoe UI"/>
                <w:sz w:val="20"/>
                <w:szCs w:val="20"/>
              </w:rPr>
            </w:pPr>
          </w:p>
          <w:p w14:paraId="670AE3BA" w14:textId="77777777" w:rsidR="006864D2" w:rsidRPr="00BB4D81" w:rsidRDefault="006864D2" w:rsidP="006864D2">
            <w:pPr>
              <w:numPr>
                <w:ilvl w:val="2"/>
                <w:numId w:val="11"/>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What are the circumstances in which such an authorisation can be granted?</w:t>
            </w:r>
          </w:p>
          <w:p w14:paraId="5C47F788" w14:textId="4B323491" w:rsidR="006864D2" w:rsidRPr="00BB4D81" w:rsidRDefault="006864D2" w:rsidP="006864D2">
            <w:pPr>
              <w:numPr>
                <w:ilvl w:val="2"/>
                <w:numId w:val="11"/>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What are the requirements for subsequent follow-up monitoring?</w:t>
            </w:r>
          </w:p>
        </w:tc>
      </w:tr>
      <w:tr w:rsidR="006864D2" w:rsidRPr="00BB4D81" w14:paraId="7BC5AC23" w14:textId="77777777" w:rsidTr="006864D2">
        <w:tc>
          <w:tcPr>
            <w:tcW w:w="9350" w:type="dxa"/>
          </w:tcPr>
          <w:p w14:paraId="3B31ACF9" w14:textId="6D902BF9" w:rsidR="006864D2" w:rsidRPr="00BB4D81" w:rsidRDefault="006864D2" w:rsidP="006864D2">
            <w:pPr>
              <w:numPr>
                <w:ilvl w:val="0"/>
                <w:numId w:val="9"/>
              </w:numPr>
              <w:spacing w:line="259" w:lineRule="auto"/>
              <w:contextualSpacing/>
              <w:jc w:val="both"/>
              <w:rPr>
                <w:rFonts w:ascii="Segoe UI" w:eastAsia="Calibri" w:hAnsi="Segoe UI" w:cs="Segoe UI"/>
                <w:i/>
                <w:sz w:val="20"/>
                <w:szCs w:val="20"/>
              </w:rPr>
            </w:pPr>
            <w:r w:rsidRPr="00BB4D81">
              <w:rPr>
                <w:rFonts w:ascii="Segoe UI" w:eastAsia="Calibri" w:hAnsi="Segoe UI" w:cs="Segoe UI"/>
                <w:sz w:val="20"/>
                <w:szCs w:val="20"/>
              </w:rPr>
              <w:t xml:space="preserve">Is there a specific set of documents, relevant to the framework, which provide guidance in relation to ‘good clinical practices’ required to ensure the validity and acceptability of clinical data collected and submitted in support of a product authorisation? – (Chapter 2 </w:t>
            </w:r>
            <w:r w:rsidRPr="00BB4D81">
              <w:rPr>
                <w:rFonts w:ascii="Segoe UI" w:eastAsia="Calibri" w:hAnsi="Segoe UI" w:cs="Segoe UI"/>
                <w:i/>
                <w:sz w:val="20"/>
                <w:szCs w:val="20"/>
              </w:rPr>
              <w:t>clinical evaluation and Chapter 3 review and evaluation)</w:t>
            </w:r>
          </w:p>
        </w:tc>
      </w:tr>
      <w:tr w:rsidR="006864D2" w:rsidRPr="00BB4D81" w14:paraId="775551F4" w14:textId="77777777" w:rsidTr="006864D2">
        <w:tc>
          <w:tcPr>
            <w:tcW w:w="9350" w:type="dxa"/>
          </w:tcPr>
          <w:p w14:paraId="74B09AA9" w14:textId="77777777" w:rsidR="006864D2" w:rsidRPr="00BB4D81" w:rsidRDefault="006864D2" w:rsidP="006864D2">
            <w:pPr>
              <w:numPr>
                <w:ilvl w:val="0"/>
                <w:numId w:val="9"/>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Is there a specific set of documents which provide </w:t>
            </w:r>
            <w:r w:rsidRPr="00BB4D81">
              <w:rPr>
                <w:rFonts w:ascii="Segoe UI" w:eastAsia="Calibri" w:hAnsi="Segoe UI" w:cs="Segoe UI"/>
                <w:b/>
                <w:sz w:val="20"/>
                <w:szCs w:val="20"/>
                <w:u w:val="single"/>
              </w:rPr>
              <w:t>guidance to competent authorities or other relevant bodies</w:t>
            </w:r>
            <w:r w:rsidRPr="00BB4D81">
              <w:rPr>
                <w:rFonts w:ascii="Segoe UI" w:eastAsia="Calibri" w:hAnsi="Segoe UI" w:cs="Segoe UI"/>
                <w:b/>
                <w:sz w:val="20"/>
                <w:szCs w:val="20"/>
              </w:rPr>
              <w:t xml:space="preserve"> </w:t>
            </w:r>
            <w:r w:rsidRPr="00BB4D81">
              <w:rPr>
                <w:rFonts w:ascii="Segoe UI" w:eastAsia="Calibri" w:hAnsi="Segoe UI" w:cs="Segoe UI"/>
                <w:sz w:val="20"/>
                <w:szCs w:val="20"/>
              </w:rPr>
              <w:t xml:space="preserve">(e.g. notified bodies) in relation to the review/assessment of the data to be submitted to support a product authorisation?, if so: - </w:t>
            </w:r>
            <w:r w:rsidRPr="00BB4D81">
              <w:rPr>
                <w:rFonts w:ascii="Segoe UI" w:eastAsia="Calibri" w:hAnsi="Segoe UI" w:cs="Segoe UI"/>
                <w:i/>
                <w:sz w:val="20"/>
                <w:szCs w:val="20"/>
              </w:rPr>
              <w:t>review and evaluation</w:t>
            </w:r>
          </w:p>
          <w:p w14:paraId="362A4167" w14:textId="77777777" w:rsidR="006864D2" w:rsidRPr="00BB4D81" w:rsidRDefault="006864D2" w:rsidP="006864D2">
            <w:pPr>
              <w:ind w:left="720"/>
              <w:contextualSpacing/>
              <w:rPr>
                <w:rFonts w:ascii="Segoe UI" w:eastAsia="Calibri" w:hAnsi="Segoe UI" w:cs="Segoe UI"/>
                <w:sz w:val="20"/>
                <w:szCs w:val="20"/>
              </w:rPr>
            </w:pPr>
          </w:p>
          <w:p w14:paraId="0E1BD793" w14:textId="77777777" w:rsidR="006864D2" w:rsidRPr="00BB4D81" w:rsidRDefault="006864D2" w:rsidP="006864D2">
            <w:pPr>
              <w:numPr>
                <w:ilvl w:val="0"/>
                <w:numId w:val="13"/>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Does the guidance include:</w:t>
            </w:r>
          </w:p>
          <w:p w14:paraId="5D29DCFF" w14:textId="77777777" w:rsidR="006864D2" w:rsidRPr="00BB4D81" w:rsidRDefault="006864D2" w:rsidP="006864D2">
            <w:pPr>
              <w:numPr>
                <w:ilvl w:val="0"/>
                <w:numId w:val="12"/>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A defined sequential approach to the review of data?</w:t>
            </w:r>
          </w:p>
          <w:p w14:paraId="2A0FFE20" w14:textId="77777777" w:rsidR="006864D2" w:rsidRPr="00BB4D81" w:rsidRDefault="006864D2" w:rsidP="006864D2">
            <w:pPr>
              <w:numPr>
                <w:ilvl w:val="0"/>
                <w:numId w:val="12"/>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Identification and evaluation of ‘checkpoints’ critical to the product approval?</w:t>
            </w:r>
          </w:p>
          <w:p w14:paraId="4294E326" w14:textId="77777777" w:rsidR="006864D2" w:rsidRPr="00BB4D81" w:rsidRDefault="006864D2" w:rsidP="006864D2">
            <w:pPr>
              <w:numPr>
                <w:ilvl w:val="0"/>
                <w:numId w:val="12"/>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Defined algorithms for the evaluation of data submitted in support of an authorisation?</w:t>
            </w:r>
          </w:p>
          <w:p w14:paraId="64DAF441" w14:textId="77777777" w:rsidR="006864D2" w:rsidRPr="00BB4D81" w:rsidRDefault="006864D2" w:rsidP="006864D2">
            <w:pPr>
              <w:ind w:left="2160"/>
              <w:contextualSpacing/>
              <w:jc w:val="both"/>
              <w:rPr>
                <w:rFonts w:ascii="Segoe UI" w:eastAsia="Calibri" w:hAnsi="Segoe UI" w:cs="Segoe UI"/>
                <w:sz w:val="20"/>
                <w:szCs w:val="20"/>
              </w:rPr>
            </w:pPr>
          </w:p>
          <w:p w14:paraId="3ED95E72" w14:textId="77777777" w:rsidR="006864D2" w:rsidRPr="00BB4D81" w:rsidRDefault="006864D2" w:rsidP="006864D2">
            <w:pPr>
              <w:numPr>
                <w:ilvl w:val="0"/>
                <w:numId w:val="13"/>
              </w:numPr>
              <w:spacing w:line="259" w:lineRule="auto"/>
              <w:contextualSpacing/>
              <w:jc w:val="both"/>
              <w:rPr>
                <w:rFonts w:ascii="Segoe UI" w:eastAsia="Calibri" w:hAnsi="Segoe UI" w:cs="Segoe UI"/>
                <w:i/>
                <w:sz w:val="20"/>
                <w:szCs w:val="20"/>
              </w:rPr>
            </w:pPr>
            <w:r w:rsidRPr="00BB4D81">
              <w:rPr>
                <w:rFonts w:ascii="Segoe UI" w:eastAsia="Calibri" w:hAnsi="Segoe UI" w:cs="Segoe UI"/>
                <w:sz w:val="20"/>
                <w:szCs w:val="20"/>
              </w:rPr>
              <w:t xml:space="preserve">Does the review process involve the use of any computer based systems for the evaluation of submitted data by using defined algorithms or in any other way? – (Chapter 3 </w:t>
            </w:r>
            <w:r w:rsidRPr="00BB4D81">
              <w:rPr>
                <w:rFonts w:ascii="Segoe UI" w:eastAsia="Calibri" w:hAnsi="Segoe UI" w:cs="Segoe UI"/>
                <w:i/>
                <w:sz w:val="20"/>
                <w:szCs w:val="20"/>
              </w:rPr>
              <w:t xml:space="preserve">review and evaluation and appendices) </w:t>
            </w:r>
          </w:p>
          <w:p w14:paraId="3409066B" w14:textId="77777777" w:rsidR="006864D2" w:rsidRPr="00BB4D81" w:rsidRDefault="006864D2" w:rsidP="006864D2">
            <w:pPr>
              <w:ind w:left="1500"/>
              <w:contextualSpacing/>
              <w:jc w:val="both"/>
              <w:rPr>
                <w:rFonts w:ascii="Segoe UI" w:eastAsia="Calibri" w:hAnsi="Segoe UI" w:cs="Segoe UI"/>
                <w:sz w:val="20"/>
                <w:szCs w:val="20"/>
              </w:rPr>
            </w:pPr>
          </w:p>
          <w:p w14:paraId="594809E4" w14:textId="77777777" w:rsidR="006864D2" w:rsidRPr="00BB4D81" w:rsidRDefault="006864D2" w:rsidP="006864D2">
            <w:pPr>
              <w:numPr>
                <w:ilvl w:val="0"/>
                <w:numId w:val="13"/>
              </w:numPr>
              <w:spacing w:line="259" w:lineRule="auto"/>
              <w:contextualSpacing/>
              <w:jc w:val="both"/>
              <w:rPr>
                <w:rFonts w:ascii="Segoe UI" w:eastAsia="Calibri" w:hAnsi="Segoe UI" w:cs="Segoe UI"/>
                <w:i/>
                <w:sz w:val="20"/>
                <w:szCs w:val="20"/>
              </w:rPr>
            </w:pPr>
            <w:r w:rsidRPr="00BB4D81">
              <w:rPr>
                <w:rFonts w:ascii="Segoe UI" w:eastAsia="Calibri" w:hAnsi="Segoe UI" w:cs="Segoe UI"/>
                <w:sz w:val="20"/>
                <w:szCs w:val="20"/>
              </w:rPr>
              <w:t>Does the guidance (or relevant legislation) define any minimum requirements for the qualification of personnel involved at various levels in the review /assessment process? – (Chapter 1 system at CA</w:t>
            </w:r>
            <w:r w:rsidRPr="00BB4D81">
              <w:rPr>
                <w:rFonts w:ascii="Segoe UI" w:eastAsia="Calibri" w:hAnsi="Segoe UI" w:cs="Segoe UI"/>
                <w:i/>
                <w:sz w:val="20"/>
                <w:szCs w:val="20"/>
              </w:rPr>
              <w:t>)</w:t>
            </w:r>
          </w:p>
          <w:p w14:paraId="3BB0538F" w14:textId="77777777" w:rsidR="006864D2" w:rsidRPr="00BB4D81" w:rsidRDefault="006864D2" w:rsidP="006864D2">
            <w:pPr>
              <w:ind w:left="1500"/>
              <w:contextualSpacing/>
              <w:jc w:val="both"/>
              <w:rPr>
                <w:rFonts w:ascii="Segoe UI" w:eastAsia="Calibri" w:hAnsi="Segoe UI" w:cs="Segoe UI"/>
                <w:sz w:val="20"/>
                <w:szCs w:val="20"/>
              </w:rPr>
            </w:pPr>
          </w:p>
          <w:p w14:paraId="768265B8" w14:textId="77777777" w:rsidR="006864D2" w:rsidRPr="00BB4D81" w:rsidRDefault="006864D2" w:rsidP="006864D2">
            <w:pPr>
              <w:numPr>
                <w:ilvl w:val="0"/>
                <w:numId w:val="13"/>
              </w:numPr>
              <w:spacing w:line="259" w:lineRule="auto"/>
              <w:contextualSpacing/>
              <w:jc w:val="both"/>
              <w:rPr>
                <w:rFonts w:ascii="Segoe UI" w:eastAsia="Calibri" w:hAnsi="Segoe UI" w:cs="Segoe UI"/>
                <w:i/>
                <w:sz w:val="20"/>
                <w:szCs w:val="20"/>
              </w:rPr>
            </w:pPr>
            <w:r w:rsidRPr="00BB4D81">
              <w:rPr>
                <w:rFonts w:ascii="Segoe UI" w:eastAsia="Calibri" w:hAnsi="Segoe UI" w:cs="Segoe UI"/>
                <w:sz w:val="20"/>
                <w:szCs w:val="20"/>
              </w:rPr>
              <w:t xml:space="preserve">Does the guidance (or relevant legislation) provide for, or mandate, the use of external (third party) experts or expert panels at either a national or supra national level? – (Chapter 1 </w:t>
            </w:r>
            <w:r w:rsidRPr="00BB4D81">
              <w:rPr>
                <w:rFonts w:ascii="Segoe UI" w:eastAsia="Calibri" w:hAnsi="Segoe UI" w:cs="Segoe UI"/>
                <w:i/>
                <w:sz w:val="20"/>
                <w:szCs w:val="20"/>
              </w:rPr>
              <w:t>system at CA)</w:t>
            </w:r>
          </w:p>
          <w:p w14:paraId="03853CB5" w14:textId="77777777" w:rsidR="006864D2" w:rsidRPr="00BB4D81" w:rsidRDefault="006864D2" w:rsidP="006864D2">
            <w:pPr>
              <w:ind w:left="1500"/>
              <w:contextualSpacing/>
              <w:jc w:val="both"/>
              <w:rPr>
                <w:rFonts w:ascii="Segoe UI" w:eastAsia="Calibri" w:hAnsi="Segoe UI" w:cs="Segoe UI"/>
                <w:sz w:val="20"/>
                <w:szCs w:val="20"/>
              </w:rPr>
            </w:pPr>
          </w:p>
          <w:p w14:paraId="537980F6" w14:textId="465E3771" w:rsidR="006864D2" w:rsidRPr="00BB4D81" w:rsidRDefault="006864D2" w:rsidP="006864D2">
            <w:pPr>
              <w:numPr>
                <w:ilvl w:val="0"/>
                <w:numId w:val="14"/>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If so, are qualification criteria etc. defined and in the case of a panel of experts is the composition of such a panel defined?</w:t>
            </w:r>
          </w:p>
        </w:tc>
      </w:tr>
      <w:tr w:rsidR="006864D2" w:rsidRPr="00BB4D81" w14:paraId="39355C6C" w14:textId="77777777" w:rsidTr="006864D2">
        <w:tc>
          <w:tcPr>
            <w:tcW w:w="9350" w:type="dxa"/>
          </w:tcPr>
          <w:p w14:paraId="6B857C49" w14:textId="049FE424" w:rsidR="006864D2" w:rsidRPr="00BB4D81" w:rsidRDefault="006864D2" w:rsidP="00324670">
            <w:pPr>
              <w:pStyle w:val="ListParagraph"/>
              <w:numPr>
                <w:ilvl w:val="0"/>
                <w:numId w:val="47"/>
              </w:numPr>
              <w:jc w:val="both"/>
              <w:rPr>
                <w:rFonts w:ascii="Segoe UI" w:eastAsia="Calibri" w:hAnsi="Segoe UI" w:cs="Segoe UI"/>
                <w:i/>
                <w:sz w:val="20"/>
                <w:szCs w:val="20"/>
              </w:rPr>
            </w:pPr>
            <w:r w:rsidRPr="00BB4D81">
              <w:rPr>
                <w:rFonts w:ascii="Segoe UI" w:eastAsia="Calibri" w:hAnsi="Segoe UI" w:cs="Segoe UI"/>
                <w:sz w:val="20"/>
                <w:szCs w:val="20"/>
              </w:rPr>
              <w:t xml:space="preserve">Does the framework provide for information sharing at an international level in order to support review / assessment of applications for authorisation and, if so, how is this facilitated? – (Chapter 3 </w:t>
            </w:r>
            <w:r w:rsidRPr="00BB4D81">
              <w:rPr>
                <w:rFonts w:ascii="Segoe UI" w:eastAsia="Calibri" w:hAnsi="Segoe UI" w:cs="Segoe UI"/>
                <w:i/>
                <w:sz w:val="20"/>
                <w:szCs w:val="20"/>
              </w:rPr>
              <w:t>review and evaluation)</w:t>
            </w:r>
          </w:p>
          <w:p w14:paraId="7AFDDA67" w14:textId="77777777" w:rsidR="006864D2" w:rsidRPr="00BB4D81" w:rsidRDefault="006864D2" w:rsidP="006864D2">
            <w:pPr>
              <w:numPr>
                <w:ilvl w:val="0"/>
                <w:numId w:val="1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Is there a defined format for the sharing of information in such cases?</w:t>
            </w:r>
          </w:p>
          <w:p w14:paraId="77B0922F" w14:textId="77777777" w:rsidR="006864D2" w:rsidRPr="00BB4D81" w:rsidRDefault="006864D2" w:rsidP="006864D2">
            <w:pPr>
              <w:ind w:left="1429"/>
              <w:contextualSpacing/>
              <w:jc w:val="both"/>
              <w:rPr>
                <w:rFonts w:ascii="Segoe UI" w:eastAsia="Calibri" w:hAnsi="Segoe UI" w:cs="Segoe UI"/>
                <w:sz w:val="20"/>
                <w:szCs w:val="20"/>
              </w:rPr>
            </w:pPr>
          </w:p>
          <w:p w14:paraId="7BCE6CEB" w14:textId="31BFD4B6" w:rsidR="006864D2" w:rsidRPr="00BB4D81" w:rsidRDefault="006864D2" w:rsidP="006864D2">
            <w:pPr>
              <w:numPr>
                <w:ilvl w:val="0"/>
                <w:numId w:val="1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Is there a mutually accessible database of national authorisations or details of the associated review / assessment, if so, what level of information is contained in the database?</w:t>
            </w:r>
          </w:p>
        </w:tc>
      </w:tr>
      <w:tr w:rsidR="006864D2" w:rsidRPr="00BB4D81" w14:paraId="4388FFD7" w14:textId="77777777" w:rsidTr="006864D2">
        <w:tc>
          <w:tcPr>
            <w:tcW w:w="9350" w:type="dxa"/>
          </w:tcPr>
          <w:p w14:paraId="01C22B62" w14:textId="71F57881" w:rsidR="006864D2" w:rsidRPr="00BB4D81" w:rsidRDefault="006864D2" w:rsidP="00324670">
            <w:pPr>
              <w:pStyle w:val="ListParagraph"/>
              <w:numPr>
                <w:ilvl w:val="0"/>
                <w:numId w:val="48"/>
              </w:numPr>
              <w:jc w:val="both"/>
              <w:rPr>
                <w:rFonts w:ascii="Segoe UI" w:eastAsia="Calibri" w:hAnsi="Segoe UI" w:cs="Segoe UI"/>
                <w:b/>
                <w:i/>
                <w:sz w:val="20"/>
                <w:szCs w:val="20"/>
              </w:rPr>
            </w:pPr>
            <w:r w:rsidRPr="00BB4D81">
              <w:rPr>
                <w:rFonts w:ascii="Segoe UI" w:eastAsia="Calibri" w:hAnsi="Segoe UI" w:cs="Segoe UI"/>
                <w:sz w:val="20"/>
                <w:szCs w:val="20"/>
              </w:rPr>
              <w:t xml:space="preserve">Are any case studies / training materials available to demonstrate the risk categorisation and the subsequent requirements for review / assessment?  </w:t>
            </w:r>
            <w:r w:rsidRPr="00BB4D81">
              <w:rPr>
                <w:rFonts w:ascii="Segoe UI" w:eastAsia="Calibri" w:hAnsi="Segoe UI" w:cs="Segoe UI"/>
                <w:i/>
                <w:sz w:val="20"/>
                <w:szCs w:val="20"/>
              </w:rPr>
              <w:t>- (Chapter 2 risk assessment and Chapter 3 review and evaluation)</w:t>
            </w:r>
          </w:p>
          <w:p w14:paraId="05811180" w14:textId="77777777" w:rsidR="006864D2" w:rsidRPr="00BB4D81" w:rsidRDefault="006864D2" w:rsidP="00AD35E7">
            <w:pPr>
              <w:rPr>
                <w:rFonts w:ascii="Segoe UI" w:eastAsia="Calibri" w:hAnsi="Segoe UI" w:cs="Segoe UI"/>
                <w:sz w:val="20"/>
                <w:szCs w:val="20"/>
              </w:rPr>
            </w:pPr>
          </w:p>
        </w:tc>
      </w:tr>
      <w:tr w:rsidR="006864D2" w:rsidRPr="00BB4D81" w14:paraId="031E8206" w14:textId="77777777" w:rsidTr="006864D2">
        <w:tc>
          <w:tcPr>
            <w:tcW w:w="9350" w:type="dxa"/>
          </w:tcPr>
          <w:p w14:paraId="12074836" w14:textId="5B3E8AE7" w:rsidR="006864D2" w:rsidRPr="00BB4D81" w:rsidRDefault="006864D2" w:rsidP="00324670">
            <w:pPr>
              <w:pStyle w:val="ListParagraph"/>
              <w:numPr>
                <w:ilvl w:val="0"/>
                <w:numId w:val="49"/>
              </w:numPr>
              <w:jc w:val="both"/>
              <w:rPr>
                <w:rFonts w:ascii="Segoe UI" w:eastAsia="Calibri" w:hAnsi="Segoe UI" w:cs="Segoe UI"/>
                <w:sz w:val="20"/>
                <w:szCs w:val="20"/>
              </w:rPr>
            </w:pPr>
            <w:r w:rsidRPr="00BB4D81">
              <w:rPr>
                <w:rFonts w:ascii="Segoe UI" w:eastAsia="Calibri" w:hAnsi="Segoe UI" w:cs="Segoe UI"/>
                <w:sz w:val="20"/>
                <w:szCs w:val="20"/>
              </w:rPr>
              <w:t xml:space="preserve">Are there specific aspects of the framework which could be considered to be relevant or proportionate to the development of a framework for the authorisation of preparation processes for: - (Chapter 1 </w:t>
            </w:r>
            <w:r w:rsidRPr="00BB4D81">
              <w:rPr>
                <w:rFonts w:ascii="Segoe UI" w:eastAsia="Calibri" w:hAnsi="Segoe UI" w:cs="Segoe UI"/>
                <w:i/>
                <w:sz w:val="20"/>
                <w:szCs w:val="20"/>
              </w:rPr>
              <w:t>system at CA; Chapter 2 risk assessment; Chapter 3 review and evaluation</w:t>
            </w:r>
          </w:p>
          <w:p w14:paraId="3C69F0D8" w14:textId="77777777" w:rsidR="006864D2" w:rsidRPr="00BB4D81" w:rsidRDefault="006864D2" w:rsidP="006864D2">
            <w:pPr>
              <w:numPr>
                <w:ilvl w:val="1"/>
                <w:numId w:val="16"/>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blood</w:t>
            </w:r>
          </w:p>
          <w:p w14:paraId="47497545" w14:textId="77777777" w:rsidR="006864D2" w:rsidRPr="00BB4D81" w:rsidRDefault="006864D2" w:rsidP="006864D2">
            <w:pPr>
              <w:numPr>
                <w:ilvl w:val="1"/>
                <w:numId w:val="16"/>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tissues and cells</w:t>
            </w:r>
          </w:p>
          <w:p w14:paraId="6824B9FF" w14:textId="77777777" w:rsidR="006864D2" w:rsidRPr="00BB4D81" w:rsidRDefault="006864D2" w:rsidP="006864D2">
            <w:pPr>
              <w:numPr>
                <w:ilvl w:val="1"/>
                <w:numId w:val="16"/>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HPSC </w:t>
            </w:r>
          </w:p>
          <w:p w14:paraId="31C8E5A4" w14:textId="40F10B95" w:rsidR="006864D2" w:rsidRPr="00BB4D81" w:rsidRDefault="006864D2" w:rsidP="006864D2">
            <w:pPr>
              <w:numPr>
                <w:ilvl w:val="1"/>
                <w:numId w:val="16"/>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ART (MAR)</w:t>
            </w:r>
          </w:p>
        </w:tc>
      </w:tr>
    </w:tbl>
    <w:p w14:paraId="2015CFC6" w14:textId="1456EFB4" w:rsidR="00AD35E7" w:rsidRPr="00BB4D81" w:rsidRDefault="000A21BE" w:rsidP="00AD35E7">
      <w:pPr>
        <w:jc w:val="both"/>
        <w:rPr>
          <w:rFonts w:ascii="Segoe UI" w:eastAsia="Calibri" w:hAnsi="Segoe UI" w:cs="Segoe UI"/>
          <w:sz w:val="20"/>
          <w:szCs w:val="20"/>
        </w:rPr>
      </w:pPr>
      <w:r w:rsidRPr="00BB4D81">
        <w:rPr>
          <w:rFonts w:ascii="Segoe UI" w:eastAsia="Calibri" w:hAnsi="Segoe UI" w:cs="Segoe UI"/>
          <w:sz w:val="20"/>
          <w:szCs w:val="20"/>
        </w:rPr>
        <w:t>Table 3: Desk-Based Review Questions</w:t>
      </w:r>
    </w:p>
    <w:p w14:paraId="00595983" w14:textId="0B0F88E7" w:rsidR="00AD35E7" w:rsidRPr="00BB4D81" w:rsidRDefault="00AD35E7" w:rsidP="00AD35E7">
      <w:pPr>
        <w:pStyle w:val="Heading1"/>
        <w:rPr>
          <w:rFonts w:eastAsia="Times New Roman"/>
          <w:lang w:eastAsia="en-US"/>
        </w:rPr>
      </w:pPr>
      <w:bookmarkStart w:id="4" w:name="_Toc48388672"/>
      <w:r w:rsidRPr="00BB4D81">
        <w:rPr>
          <w:rFonts w:eastAsia="Times New Roman"/>
          <w:lang w:eastAsia="en-US"/>
        </w:rPr>
        <w:t>III. Multi-Country Workshop</w:t>
      </w:r>
      <w:bookmarkEnd w:id="4"/>
      <w:r w:rsidRPr="00BB4D81">
        <w:rPr>
          <w:rFonts w:eastAsia="Times New Roman"/>
          <w:lang w:eastAsia="en-US"/>
        </w:rPr>
        <w:t xml:space="preserve"> </w:t>
      </w:r>
    </w:p>
    <w:p w14:paraId="180A8B0F" w14:textId="3685DFA2" w:rsidR="00AD35E7" w:rsidRPr="00BB4D81" w:rsidRDefault="00AD35E7" w:rsidP="00AD35E7">
      <w:pPr>
        <w:jc w:val="both"/>
        <w:rPr>
          <w:rFonts w:ascii="Segoe UI" w:eastAsia="Calibri" w:hAnsi="Segoe UI" w:cs="Segoe UI"/>
          <w:sz w:val="20"/>
          <w:szCs w:val="20"/>
        </w:rPr>
      </w:pPr>
      <w:r w:rsidRPr="00BB4D81">
        <w:rPr>
          <w:rFonts w:ascii="Segoe UI" w:eastAsia="Calibri" w:hAnsi="Segoe UI" w:cs="Segoe UI"/>
          <w:sz w:val="20"/>
          <w:szCs w:val="20"/>
        </w:rPr>
        <w:t>Two multi country workshops were carried out, one for tissue and cell CAs</w:t>
      </w:r>
      <w:r w:rsidR="000A21BE" w:rsidRPr="00BB4D81">
        <w:rPr>
          <w:rFonts w:ascii="Segoe UI" w:eastAsia="Calibri" w:hAnsi="Segoe UI" w:cs="Segoe UI"/>
          <w:sz w:val="20"/>
          <w:szCs w:val="20"/>
        </w:rPr>
        <w:t>,</w:t>
      </w:r>
      <w:r w:rsidRPr="00BB4D81">
        <w:rPr>
          <w:rFonts w:ascii="Segoe UI" w:eastAsia="Calibri" w:hAnsi="Segoe UI" w:cs="Segoe UI"/>
          <w:sz w:val="20"/>
          <w:szCs w:val="20"/>
        </w:rPr>
        <w:t xml:space="preserve"> and one for blood CAs. The purpose of the multi country workshops were:</w:t>
      </w:r>
    </w:p>
    <w:p w14:paraId="678582A2" w14:textId="77777777" w:rsidR="00AD35E7" w:rsidRPr="00BB4D81" w:rsidRDefault="00AD35E7" w:rsidP="00A01F03">
      <w:pPr>
        <w:numPr>
          <w:ilvl w:val="0"/>
          <w:numId w:val="22"/>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to promote discussion to consider and gather information on the status of Preparation Process Authorisation (PPA) systems</w:t>
      </w:r>
    </w:p>
    <w:p w14:paraId="07F165EF" w14:textId="77777777" w:rsidR="00AD35E7" w:rsidRPr="00BB4D81" w:rsidRDefault="00AD35E7" w:rsidP="00A01F03">
      <w:pPr>
        <w:numPr>
          <w:ilvl w:val="0"/>
          <w:numId w:val="22"/>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to further explore organisational and procedural models identified by the survey and to identify strengths, weaknesses and best practices</w:t>
      </w:r>
    </w:p>
    <w:p w14:paraId="52E03693" w14:textId="77777777" w:rsidR="00AD35E7" w:rsidRPr="00BB4D81" w:rsidRDefault="00AD35E7" w:rsidP="00AD35E7">
      <w:pPr>
        <w:ind w:left="780"/>
        <w:contextualSpacing/>
        <w:jc w:val="both"/>
        <w:rPr>
          <w:rFonts w:ascii="Segoe UI" w:eastAsia="Calibri" w:hAnsi="Segoe UI" w:cs="Segoe UI"/>
          <w:sz w:val="20"/>
          <w:szCs w:val="20"/>
        </w:rPr>
      </w:pPr>
    </w:p>
    <w:p w14:paraId="7E9A7A71" w14:textId="77777777" w:rsidR="00AD35E7" w:rsidRPr="007857CF" w:rsidRDefault="00AD35E7" w:rsidP="00AD35E7">
      <w:pPr>
        <w:jc w:val="both"/>
        <w:rPr>
          <w:rFonts w:ascii="Segoe UI" w:eastAsia="Calibri" w:hAnsi="Segoe UI" w:cs="Segoe UI"/>
          <w:b/>
          <w:sz w:val="20"/>
          <w:szCs w:val="20"/>
        </w:rPr>
      </w:pPr>
      <w:r w:rsidRPr="007857CF">
        <w:rPr>
          <w:rFonts w:ascii="Segoe UI" w:eastAsia="Calibri" w:hAnsi="Segoe UI" w:cs="Segoe UI"/>
          <w:b/>
          <w:sz w:val="20"/>
          <w:szCs w:val="20"/>
        </w:rPr>
        <w:t>Methodology for Workshop</w:t>
      </w:r>
    </w:p>
    <w:p w14:paraId="0758477A" w14:textId="47E03BCC" w:rsidR="00AD35E7" w:rsidRPr="00BB4D81" w:rsidRDefault="00AD35E7" w:rsidP="00AD35E7">
      <w:pPr>
        <w:jc w:val="both"/>
        <w:rPr>
          <w:rFonts w:ascii="Segoe UI" w:eastAsia="Calibri" w:hAnsi="Segoe UI" w:cs="Segoe UI"/>
          <w:sz w:val="20"/>
          <w:szCs w:val="20"/>
        </w:rPr>
      </w:pPr>
      <w:r w:rsidRPr="00BB4D81">
        <w:rPr>
          <w:rFonts w:ascii="Segoe UI" w:eastAsia="Calibri" w:hAnsi="Segoe UI" w:cs="Segoe UI"/>
          <w:sz w:val="20"/>
          <w:szCs w:val="20"/>
        </w:rPr>
        <w:t>To facilitate discussions the 5 key headings, as follows, which were considered relevant to the development of the framework, and which can be considered to encompass the lifecycle of the authorisation process were worked through:</w:t>
      </w:r>
    </w:p>
    <w:tbl>
      <w:tblPr>
        <w:tblStyle w:val="TableGrid"/>
        <w:tblW w:w="0" w:type="auto"/>
        <w:tblLook w:val="04A0" w:firstRow="1" w:lastRow="0" w:firstColumn="1" w:lastColumn="0" w:noHBand="0" w:noVBand="1"/>
      </w:tblPr>
      <w:tblGrid>
        <w:gridCol w:w="9350"/>
      </w:tblGrid>
      <w:tr w:rsidR="001A19F9" w:rsidRPr="00BB4D81" w14:paraId="17E0D48F" w14:textId="77777777" w:rsidTr="001A19F9">
        <w:tc>
          <w:tcPr>
            <w:tcW w:w="9350" w:type="dxa"/>
          </w:tcPr>
          <w:p w14:paraId="502E362A" w14:textId="01C355F6" w:rsidR="001A19F9" w:rsidRPr="00BB4D81" w:rsidRDefault="001A19F9" w:rsidP="00AD35E7">
            <w:pPr>
              <w:jc w:val="both"/>
              <w:rPr>
                <w:rFonts w:ascii="Segoe UI" w:eastAsia="Calibri" w:hAnsi="Segoe UI" w:cs="Segoe UI"/>
                <w:sz w:val="20"/>
                <w:szCs w:val="20"/>
              </w:rPr>
            </w:pPr>
            <w:r w:rsidRPr="00BB4D81">
              <w:rPr>
                <w:rFonts w:ascii="Segoe UI" w:eastAsia="Calibri" w:hAnsi="Segoe UI" w:cs="Segoe UI"/>
                <w:sz w:val="20"/>
                <w:szCs w:val="20"/>
              </w:rPr>
              <w:t>Part A – Risk Assessment</w:t>
            </w:r>
          </w:p>
        </w:tc>
      </w:tr>
      <w:tr w:rsidR="001A19F9" w:rsidRPr="00BB4D81" w14:paraId="70149106" w14:textId="77777777" w:rsidTr="001A19F9">
        <w:tc>
          <w:tcPr>
            <w:tcW w:w="9350" w:type="dxa"/>
          </w:tcPr>
          <w:p w14:paraId="2747299F" w14:textId="01EDDD16" w:rsidR="001A19F9" w:rsidRPr="00BB4D81" w:rsidRDefault="001A19F9" w:rsidP="00AD35E7">
            <w:pPr>
              <w:jc w:val="both"/>
              <w:rPr>
                <w:rFonts w:ascii="Segoe UI" w:eastAsia="Calibri" w:hAnsi="Segoe UI" w:cs="Segoe UI"/>
                <w:sz w:val="20"/>
                <w:szCs w:val="20"/>
              </w:rPr>
            </w:pPr>
            <w:r w:rsidRPr="00BB4D81">
              <w:rPr>
                <w:rFonts w:ascii="Segoe UI" w:eastAsia="Calibri" w:hAnsi="Segoe UI" w:cs="Segoe UI"/>
                <w:sz w:val="20"/>
                <w:szCs w:val="20"/>
              </w:rPr>
              <w:t>Part B – Application Process</w:t>
            </w:r>
          </w:p>
        </w:tc>
      </w:tr>
      <w:tr w:rsidR="001A19F9" w:rsidRPr="00BB4D81" w14:paraId="5D56AA28" w14:textId="77777777" w:rsidTr="001A19F9">
        <w:tc>
          <w:tcPr>
            <w:tcW w:w="9350" w:type="dxa"/>
          </w:tcPr>
          <w:p w14:paraId="600C9255" w14:textId="1ADD93A4" w:rsidR="001A19F9" w:rsidRPr="00BB4D81" w:rsidRDefault="001A19F9" w:rsidP="00AD35E7">
            <w:pPr>
              <w:jc w:val="both"/>
              <w:rPr>
                <w:rFonts w:ascii="Segoe UI" w:eastAsia="Calibri" w:hAnsi="Segoe UI" w:cs="Segoe UI"/>
                <w:sz w:val="20"/>
                <w:szCs w:val="20"/>
              </w:rPr>
            </w:pPr>
            <w:r w:rsidRPr="00BB4D81">
              <w:rPr>
                <w:rFonts w:ascii="Segoe UI" w:eastAsia="Calibri" w:hAnsi="Segoe UI" w:cs="Segoe UI"/>
                <w:sz w:val="20"/>
                <w:szCs w:val="20"/>
              </w:rPr>
              <w:t>Part C – Framework for Competent Authority</w:t>
            </w:r>
          </w:p>
        </w:tc>
      </w:tr>
      <w:tr w:rsidR="001A19F9" w:rsidRPr="00BB4D81" w14:paraId="5B70B391" w14:textId="77777777" w:rsidTr="001A19F9">
        <w:tc>
          <w:tcPr>
            <w:tcW w:w="9350" w:type="dxa"/>
          </w:tcPr>
          <w:p w14:paraId="60CAB438" w14:textId="1605252B" w:rsidR="001A19F9" w:rsidRPr="00BB4D81" w:rsidRDefault="001A19F9" w:rsidP="00AD35E7">
            <w:pPr>
              <w:jc w:val="both"/>
              <w:rPr>
                <w:rFonts w:ascii="Segoe UI" w:eastAsia="Calibri" w:hAnsi="Segoe UI" w:cs="Segoe UI"/>
                <w:sz w:val="20"/>
                <w:szCs w:val="20"/>
              </w:rPr>
            </w:pPr>
            <w:r w:rsidRPr="00BB4D81">
              <w:rPr>
                <w:rFonts w:ascii="Segoe UI" w:eastAsia="Calibri" w:hAnsi="Segoe UI" w:cs="Segoe UI"/>
                <w:sz w:val="20"/>
                <w:szCs w:val="20"/>
              </w:rPr>
              <w:t>Part D – Review and Evaluation</w:t>
            </w:r>
          </w:p>
        </w:tc>
      </w:tr>
      <w:tr w:rsidR="001A19F9" w:rsidRPr="00BB4D81" w14:paraId="24E18D69" w14:textId="77777777" w:rsidTr="001A19F9">
        <w:tc>
          <w:tcPr>
            <w:tcW w:w="9350" w:type="dxa"/>
          </w:tcPr>
          <w:p w14:paraId="0DA598BF" w14:textId="6F271C57" w:rsidR="001A19F9" w:rsidRPr="00BB4D81" w:rsidRDefault="001A19F9" w:rsidP="00AD35E7">
            <w:pPr>
              <w:jc w:val="both"/>
              <w:rPr>
                <w:rFonts w:ascii="Segoe UI" w:eastAsia="Calibri" w:hAnsi="Segoe UI" w:cs="Segoe UI"/>
                <w:sz w:val="20"/>
                <w:szCs w:val="20"/>
              </w:rPr>
            </w:pPr>
            <w:r w:rsidRPr="00BB4D81">
              <w:rPr>
                <w:rFonts w:ascii="Segoe UI" w:eastAsia="Calibri" w:hAnsi="Segoe UI" w:cs="Segoe UI"/>
                <w:sz w:val="20"/>
                <w:szCs w:val="20"/>
              </w:rPr>
              <w:t xml:space="preserve">Part E </w:t>
            </w:r>
            <w:r w:rsidR="0054584B" w:rsidRPr="00BB4D81">
              <w:rPr>
                <w:rFonts w:ascii="Segoe UI" w:eastAsia="Calibri" w:hAnsi="Segoe UI" w:cs="Segoe UI"/>
                <w:sz w:val="20"/>
                <w:szCs w:val="20"/>
              </w:rPr>
              <w:t>–</w:t>
            </w:r>
            <w:r w:rsidRPr="00BB4D81">
              <w:rPr>
                <w:rFonts w:ascii="Segoe UI" w:eastAsia="Calibri" w:hAnsi="Segoe UI" w:cs="Segoe UI"/>
                <w:sz w:val="20"/>
                <w:szCs w:val="20"/>
              </w:rPr>
              <w:t xml:space="preserve"> Authorisation</w:t>
            </w:r>
          </w:p>
        </w:tc>
      </w:tr>
    </w:tbl>
    <w:p w14:paraId="15045D1C" w14:textId="4308B380" w:rsidR="001A19F9" w:rsidRPr="00BB4D81" w:rsidRDefault="000A21BE" w:rsidP="00AD35E7">
      <w:pPr>
        <w:jc w:val="both"/>
        <w:rPr>
          <w:rFonts w:ascii="Segoe UI" w:eastAsia="Calibri" w:hAnsi="Segoe UI" w:cs="Segoe UI"/>
          <w:sz w:val="20"/>
          <w:szCs w:val="20"/>
        </w:rPr>
      </w:pPr>
      <w:r w:rsidRPr="00BB4D81">
        <w:rPr>
          <w:rFonts w:ascii="Segoe UI" w:eastAsia="Calibri" w:hAnsi="Segoe UI" w:cs="Segoe UI"/>
          <w:sz w:val="20"/>
          <w:szCs w:val="20"/>
        </w:rPr>
        <w:t>Table 4: Workshop Discussion headings</w:t>
      </w:r>
    </w:p>
    <w:p w14:paraId="095B77DF" w14:textId="1F9AE9B4" w:rsidR="00AD35E7" w:rsidRPr="00BB4D81" w:rsidRDefault="00AD35E7" w:rsidP="00AD35E7">
      <w:pPr>
        <w:jc w:val="both"/>
        <w:rPr>
          <w:rFonts w:ascii="Segoe UI" w:eastAsia="Calibri" w:hAnsi="Segoe UI" w:cs="Segoe UI"/>
          <w:sz w:val="20"/>
          <w:szCs w:val="20"/>
        </w:rPr>
      </w:pPr>
      <w:r w:rsidRPr="00BB4D81">
        <w:rPr>
          <w:rFonts w:ascii="Segoe UI" w:eastAsia="Calibri" w:hAnsi="Segoe UI" w:cs="Segoe UI"/>
          <w:sz w:val="20"/>
          <w:szCs w:val="20"/>
        </w:rPr>
        <w:t>In relation to each of these headings, the findings from the survey were presented and pertinent regulatory processes highlighted which are in place in other sectors, with a view to promoting discussion and gathering further information on the relevant structures, frameworks, procedures, guidance etc. in place at the MS CAs;</w:t>
      </w:r>
    </w:p>
    <w:p w14:paraId="151258BE" w14:textId="2D689DF1" w:rsidR="00AD35E7" w:rsidRPr="00BB4D81" w:rsidRDefault="00AD35E7" w:rsidP="00AD35E7">
      <w:pPr>
        <w:jc w:val="both"/>
        <w:rPr>
          <w:rFonts w:ascii="Segoe UI" w:eastAsia="Calibri" w:hAnsi="Segoe UI" w:cs="Segoe UI"/>
          <w:sz w:val="20"/>
          <w:szCs w:val="20"/>
        </w:rPr>
      </w:pPr>
      <w:r w:rsidRPr="00BB4D81">
        <w:rPr>
          <w:rFonts w:ascii="Segoe UI" w:eastAsia="Calibri" w:hAnsi="Segoe UI" w:cs="Segoe UI"/>
          <w:sz w:val="20"/>
          <w:szCs w:val="20"/>
        </w:rPr>
        <w:t xml:space="preserve">Following discussion from the multi country workshop </w:t>
      </w:r>
      <w:r w:rsidR="001A19F9" w:rsidRPr="00BB4D81">
        <w:rPr>
          <w:rFonts w:ascii="Segoe UI" w:eastAsia="Calibri" w:hAnsi="Segoe UI" w:cs="Segoe UI"/>
          <w:sz w:val="20"/>
          <w:szCs w:val="20"/>
        </w:rPr>
        <w:t xml:space="preserve">the </w:t>
      </w:r>
      <w:r w:rsidR="00F023D7" w:rsidRPr="00BB4D81">
        <w:rPr>
          <w:rFonts w:ascii="Segoe UI" w:eastAsia="Calibri" w:hAnsi="Segoe UI" w:cs="Segoe UI"/>
          <w:sz w:val="20"/>
          <w:szCs w:val="20"/>
        </w:rPr>
        <w:t>headings above were adjusted</w:t>
      </w:r>
      <w:r w:rsidRPr="00BB4D81">
        <w:rPr>
          <w:rFonts w:ascii="Segoe UI" w:eastAsia="Calibri" w:hAnsi="Segoe UI" w:cs="Segoe UI"/>
          <w:sz w:val="20"/>
          <w:szCs w:val="20"/>
        </w:rPr>
        <w:t xml:space="preserve"> for the PPA guidance and </w:t>
      </w:r>
      <w:r w:rsidR="000A21BE" w:rsidRPr="00BB4D81">
        <w:rPr>
          <w:rFonts w:ascii="Segoe UI" w:eastAsia="Calibri" w:hAnsi="Segoe UI" w:cs="Segoe UI"/>
          <w:sz w:val="20"/>
          <w:szCs w:val="20"/>
        </w:rPr>
        <w:t xml:space="preserve">a new </w:t>
      </w:r>
      <w:r w:rsidRPr="00BB4D81">
        <w:rPr>
          <w:rFonts w:ascii="Segoe UI" w:eastAsia="Calibri" w:hAnsi="Segoe UI" w:cs="Segoe UI"/>
          <w:sz w:val="20"/>
          <w:szCs w:val="20"/>
        </w:rPr>
        <w:t>template was proposed</w:t>
      </w:r>
      <w:r w:rsidR="000A21BE" w:rsidRPr="00BB4D81">
        <w:rPr>
          <w:rFonts w:ascii="Segoe UI" w:eastAsia="Calibri" w:hAnsi="Segoe UI" w:cs="Segoe UI"/>
          <w:sz w:val="20"/>
          <w:szCs w:val="20"/>
        </w:rPr>
        <w:t xml:space="preserve"> (table 5)</w:t>
      </w:r>
      <w:r w:rsidRPr="00BB4D81">
        <w:rPr>
          <w:rFonts w:ascii="Segoe UI" w:eastAsia="Calibri" w:hAnsi="Segoe UI" w:cs="Segoe UI"/>
          <w:sz w:val="20"/>
          <w:szCs w:val="20"/>
        </w:rPr>
        <w:t xml:space="preserve">. </w:t>
      </w:r>
      <w:r w:rsidR="009553B6" w:rsidRPr="00BB4D81">
        <w:rPr>
          <w:rFonts w:ascii="Segoe UI" w:eastAsia="Calibri" w:hAnsi="Segoe UI" w:cs="Segoe UI"/>
          <w:sz w:val="20"/>
          <w:szCs w:val="20"/>
        </w:rPr>
        <w:t xml:space="preserve">The information in this report will be discussed in as close as possible to the </w:t>
      </w:r>
      <w:r w:rsidRPr="00BB4D81">
        <w:rPr>
          <w:rFonts w:ascii="Segoe UI" w:eastAsia="Calibri" w:hAnsi="Segoe UI" w:cs="Segoe UI"/>
          <w:sz w:val="20"/>
          <w:szCs w:val="20"/>
        </w:rPr>
        <w:t>order of the appropriate sections</w:t>
      </w:r>
      <w:r w:rsidR="00F023D7" w:rsidRPr="00BB4D81">
        <w:rPr>
          <w:rFonts w:ascii="Segoe UI" w:eastAsia="Calibri" w:hAnsi="Segoe UI" w:cs="Segoe UI"/>
          <w:sz w:val="20"/>
          <w:szCs w:val="20"/>
        </w:rPr>
        <w:t>, as the information allows</w:t>
      </w:r>
      <w:r w:rsidRPr="00BB4D81">
        <w:rPr>
          <w:rFonts w:ascii="Segoe UI" w:eastAsia="Calibri" w:hAnsi="Segoe UI" w:cs="Segoe UI"/>
          <w:sz w:val="20"/>
          <w:szCs w:val="20"/>
        </w:rPr>
        <w:t xml:space="preserve">. </w:t>
      </w:r>
    </w:p>
    <w:p w14:paraId="7BE3235F" w14:textId="77777777" w:rsidR="00AD35E7" w:rsidRPr="00BB4D81" w:rsidRDefault="00AD35E7" w:rsidP="00AD35E7">
      <w:pPr>
        <w:jc w:val="both"/>
        <w:rPr>
          <w:rFonts w:ascii="Segoe UI" w:eastAsia="Calibri" w:hAnsi="Segoe UI" w:cs="Segoe UI"/>
          <w:sz w:val="20"/>
          <w:szCs w:val="20"/>
        </w:rPr>
      </w:pPr>
      <w:r w:rsidRPr="00BB4D81">
        <w:rPr>
          <w:rFonts w:ascii="Segoe UI" w:eastAsia="Calibri" w:hAnsi="Segoe UI" w:cs="Segoe UI"/>
          <w:sz w:val="20"/>
          <w:szCs w:val="20"/>
        </w:rPr>
        <w:t>The new proposed format is as follows:</w:t>
      </w:r>
    </w:p>
    <w:tbl>
      <w:tblPr>
        <w:tblStyle w:val="TableGrid"/>
        <w:tblW w:w="0" w:type="auto"/>
        <w:tblLook w:val="04A0" w:firstRow="1" w:lastRow="0" w:firstColumn="1" w:lastColumn="0" w:noHBand="0" w:noVBand="1"/>
      </w:tblPr>
      <w:tblGrid>
        <w:gridCol w:w="9016"/>
      </w:tblGrid>
      <w:tr w:rsidR="00AD35E7" w:rsidRPr="00BB4D81" w14:paraId="127E8118" w14:textId="77777777" w:rsidTr="00555AE4">
        <w:tc>
          <w:tcPr>
            <w:tcW w:w="9016" w:type="dxa"/>
          </w:tcPr>
          <w:p w14:paraId="53D0F61C"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Part A</w:t>
            </w:r>
          </w:p>
        </w:tc>
      </w:tr>
      <w:tr w:rsidR="00AD35E7" w:rsidRPr="00BB4D81" w14:paraId="19932DCD" w14:textId="77777777" w:rsidTr="00555AE4">
        <w:tc>
          <w:tcPr>
            <w:tcW w:w="9016" w:type="dxa"/>
          </w:tcPr>
          <w:p w14:paraId="1A2B1EEF"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Risk Assessment</w:t>
            </w:r>
          </w:p>
          <w:p w14:paraId="034E668F" w14:textId="77777777" w:rsidR="00AD35E7" w:rsidRPr="00BB4D81" w:rsidRDefault="00AD35E7" w:rsidP="008F1340">
            <w:pPr>
              <w:pStyle w:val="ListParagraph"/>
              <w:numPr>
                <w:ilvl w:val="0"/>
                <w:numId w:val="20"/>
              </w:numPr>
              <w:jc w:val="both"/>
              <w:rPr>
                <w:rFonts w:ascii="Segoe UI" w:eastAsia="Calibri" w:hAnsi="Segoe UI" w:cs="Segoe UI"/>
                <w:sz w:val="20"/>
                <w:szCs w:val="20"/>
              </w:rPr>
            </w:pPr>
            <w:r w:rsidRPr="00BB4D81">
              <w:rPr>
                <w:rFonts w:ascii="Segoe UI" w:eastAsia="Calibri" w:hAnsi="Segoe UI" w:cs="Segoe UI"/>
                <w:sz w:val="20"/>
                <w:szCs w:val="20"/>
              </w:rPr>
              <w:t xml:space="preserve">Definition of novelty </w:t>
            </w:r>
          </w:p>
          <w:p w14:paraId="71C1241C" w14:textId="77777777" w:rsidR="00AD35E7" w:rsidRPr="00BB4D81" w:rsidRDefault="00AD35E7" w:rsidP="008F1340">
            <w:pPr>
              <w:pStyle w:val="ListParagraph"/>
              <w:numPr>
                <w:ilvl w:val="0"/>
                <w:numId w:val="20"/>
              </w:numPr>
              <w:jc w:val="both"/>
              <w:rPr>
                <w:rFonts w:ascii="Segoe UI" w:eastAsia="Calibri" w:hAnsi="Segoe UI" w:cs="Segoe UI"/>
                <w:sz w:val="20"/>
                <w:szCs w:val="20"/>
              </w:rPr>
            </w:pPr>
            <w:r w:rsidRPr="00BB4D81">
              <w:rPr>
                <w:rFonts w:ascii="Segoe UI" w:eastAsia="Calibri" w:hAnsi="Segoe UI" w:cs="Segoe UI"/>
                <w:sz w:val="20"/>
                <w:szCs w:val="20"/>
              </w:rPr>
              <w:t>Significant changes</w:t>
            </w:r>
          </w:p>
        </w:tc>
      </w:tr>
      <w:tr w:rsidR="00AD35E7" w:rsidRPr="00BB4D81" w14:paraId="40467A69" w14:textId="77777777" w:rsidTr="00555AE4">
        <w:tc>
          <w:tcPr>
            <w:tcW w:w="9016" w:type="dxa"/>
          </w:tcPr>
          <w:p w14:paraId="3E50E3F8"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Part B</w:t>
            </w:r>
          </w:p>
        </w:tc>
      </w:tr>
      <w:tr w:rsidR="00AD35E7" w:rsidRPr="00BB4D81" w14:paraId="401647B4" w14:textId="77777777" w:rsidTr="00555AE4">
        <w:tc>
          <w:tcPr>
            <w:tcW w:w="9016" w:type="dxa"/>
          </w:tcPr>
          <w:p w14:paraId="6AD2D566"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Application Process</w:t>
            </w:r>
          </w:p>
          <w:p w14:paraId="3551A04B" w14:textId="77777777" w:rsidR="00AD35E7" w:rsidRPr="00BB4D81" w:rsidRDefault="00AD35E7" w:rsidP="008F1340">
            <w:pPr>
              <w:pStyle w:val="ListParagraph"/>
              <w:numPr>
                <w:ilvl w:val="0"/>
                <w:numId w:val="21"/>
              </w:numPr>
              <w:jc w:val="both"/>
              <w:rPr>
                <w:rFonts w:ascii="Segoe UI" w:eastAsia="Calibri" w:hAnsi="Segoe UI" w:cs="Segoe UI"/>
                <w:sz w:val="20"/>
                <w:szCs w:val="20"/>
              </w:rPr>
            </w:pPr>
            <w:r w:rsidRPr="00BB4D81">
              <w:rPr>
                <w:rFonts w:ascii="Segoe UI" w:eastAsia="Calibri" w:hAnsi="Segoe UI" w:cs="Segoe UI"/>
                <w:sz w:val="20"/>
                <w:szCs w:val="20"/>
              </w:rPr>
              <w:t>New application</w:t>
            </w:r>
          </w:p>
          <w:p w14:paraId="5DB476FC" w14:textId="77777777" w:rsidR="00F82AD7" w:rsidRDefault="00AD35E7" w:rsidP="00555AE4">
            <w:pPr>
              <w:pStyle w:val="ListParagraph"/>
              <w:jc w:val="both"/>
              <w:rPr>
                <w:rFonts w:ascii="Segoe UI" w:eastAsia="Calibri" w:hAnsi="Segoe UI" w:cs="Segoe UI"/>
                <w:sz w:val="20"/>
                <w:szCs w:val="20"/>
              </w:rPr>
            </w:pPr>
            <w:r w:rsidRPr="00BB4D81">
              <w:rPr>
                <w:rFonts w:ascii="Segoe UI" w:eastAsia="Calibri" w:hAnsi="Segoe UI" w:cs="Segoe UI"/>
                <w:sz w:val="20"/>
                <w:szCs w:val="20"/>
              </w:rPr>
              <w:t xml:space="preserve">Modules 1 -5 </w:t>
            </w:r>
          </w:p>
          <w:p w14:paraId="27FA344B" w14:textId="1CEF59F9" w:rsidR="00F82AD7" w:rsidRDefault="00AD35E7" w:rsidP="00555AE4">
            <w:pPr>
              <w:pStyle w:val="ListParagraph"/>
              <w:jc w:val="both"/>
              <w:rPr>
                <w:rFonts w:ascii="Segoe UI" w:eastAsia="Calibri" w:hAnsi="Segoe UI" w:cs="Segoe UI"/>
                <w:sz w:val="20"/>
                <w:szCs w:val="20"/>
              </w:rPr>
            </w:pPr>
            <w:r w:rsidRPr="00BB4D81">
              <w:rPr>
                <w:rFonts w:ascii="Segoe UI" w:eastAsia="Calibri" w:hAnsi="Segoe UI" w:cs="Segoe UI"/>
                <w:sz w:val="20"/>
                <w:szCs w:val="20"/>
              </w:rPr>
              <w:t>(1</w:t>
            </w:r>
            <w:r w:rsidR="005F0F28" w:rsidRPr="00BB4D81">
              <w:rPr>
                <w:rFonts w:ascii="Segoe UI" w:eastAsia="Calibri" w:hAnsi="Segoe UI" w:cs="Segoe UI"/>
                <w:sz w:val="20"/>
                <w:szCs w:val="20"/>
              </w:rPr>
              <w:t>:</w:t>
            </w:r>
            <w:r w:rsidR="005F0F28" w:rsidRPr="00861988">
              <w:rPr>
                <w:rFonts w:ascii="Segoe UI" w:eastAsia="Calibri" w:hAnsi="Segoe UI" w:cs="Segoe UI"/>
                <w:sz w:val="20"/>
                <w:szCs w:val="20"/>
              </w:rPr>
              <w:t xml:space="preserve"> Admin</w:t>
            </w:r>
            <w:r w:rsidRPr="00861988">
              <w:rPr>
                <w:rFonts w:ascii="Segoe UI" w:eastAsia="Calibri" w:hAnsi="Segoe UI" w:cs="Segoe UI"/>
                <w:sz w:val="20"/>
                <w:szCs w:val="20"/>
              </w:rPr>
              <w:t xml:space="preserve"> </w:t>
            </w:r>
            <w:r w:rsidRPr="00BB4D81">
              <w:rPr>
                <w:rFonts w:ascii="Segoe UI" w:eastAsia="Calibri" w:hAnsi="Segoe UI" w:cs="Segoe UI"/>
                <w:sz w:val="20"/>
                <w:szCs w:val="20"/>
              </w:rPr>
              <w:t xml:space="preserve">information; experts involved in compilation of the dossier; labelling; leaflet. </w:t>
            </w:r>
          </w:p>
          <w:p w14:paraId="224833DD" w14:textId="77777777" w:rsidR="00F82AD7" w:rsidRDefault="00AD35E7" w:rsidP="00555AE4">
            <w:pPr>
              <w:pStyle w:val="ListParagraph"/>
              <w:jc w:val="both"/>
              <w:rPr>
                <w:rFonts w:ascii="Segoe UI" w:eastAsia="Calibri" w:hAnsi="Segoe UI" w:cs="Segoe UI"/>
                <w:sz w:val="20"/>
                <w:szCs w:val="20"/>
              </w:rPr>
            </w:pPr>
            <w:r w:rsidRPr="00BB4D81">
              <w:rPr>
                <w:rFonts w:ascii="Segoe UI" w:eastAsia="Calibri" w:hAnsi="Segoe UI" w:cs="Segoe UI"/>
                <w:sz w:val="20"/>
                <w:szCs w:val="20"/>
              </w:rPr>
              <w:t xml:space="preserve">2: characterisation of the blood/ tissue/cell; quality overview; non clinical overview; clinical overview; risk benefit evaluation; clinical follow up; clinical investigation plan. </w:t>
            </w:r>
          </w:p>
          <w:p w14:paraId="47787039" w14:textId="77777777" w:rsidR="00F82AD7" w:rsidRDefault="00AD35E7" w:rsidP="00555AE4">
            <w:pPr>
              <w:pStyle w:val="ListParagraph"/>
              <w:jc w:val="both"/>
              <w:rPr>
                <w:rFonts w:ascii="Segoe UI" w:eastAsia="Calibri" w:hAnsi="Segoe UI" w:cs="Segoe UI"/>
                <w:sz w:val="20"/>
                <w:szCs w:val="20"/>
              </w:rPr>
            </w:pPr>
            <w:r w:rsidRPr="00BB4D81">
              <w:rPr>
                <w:rFonts w:ascii="Segoe UI" w:eastAsia="Calibri" w:hAnsi="Segoe UI" w:cs="Segoe UI"/>
                <w:sz w:val="20"/>
                <w:szCs w:val="20"/>
              </w:rPr>
              <w:t>3: Composition of blood/tissue/cell; donor selection and testing; preparation process; validation and stability; quality control.</w:t>
            </w:r>
          </w:p>
          <w:p w14:paraId="333CE423" w14:textId="128F2C66" w:rsidR="00F82AD7" w:rsidRDefault="00AD35E7" w:rsidP="00555AE4">
            <w:pPr>
              <w:pStyle w:val="ListParagraph"/>
              <w:jc w:val="both"/>
              <w:rPr>
                <w:rFonts w:ascii="Segoe UI" w:eastAsia="Calibri" w:hAnsi="Segoe UI" w:cs="Segoe UI"/>
                <w:sz w:val="20"/>
                <w:szCs w:val="20"/>
              </w:rPr>
            </w:pPr>
            <w:r w:rsidRPr="00BB4D81">
              <w:rPr>
                <w:rFonts w:ascii="Segoe UI" w:eastAsia="Calibri" w:hAnsi="Segoe UI" w:cs="Segoe UI"/>
                <w:sz w:val="20"/>
                <w:szCs w:val="20"/>
              </w:rPr>
              <w:t xml:space="preserve">4: </w:t>
            </w:r>
            <w:r w:rsidR="005F0F28" w:rsidRPr="00BB4D81">
              <w:rPr>
                <w:rFonts w:ascii="Segoe UI" w:eastAsia="Calibri" w:hAnsi="Segoe UI" w:cs="Segoe UI"/>
                <w:sz w:val="20"/>
                <w:szCs w:val="20"/>
              </w:rPr>
              <w:t>non-clinical</w:t>
            </w:r>
            <w:r w:rsidRPr="00BB4D81">
              <w:rPr>
                <w:rFonts w:ascii="Segoe UI" w:eastAsia="Calibri" w:hAnsi="Segoe UI" w:cs="Segoe UI"/>
                <w:sz w:val="20"/>
                <w:szCs w:val="20"/>
              </w:rPr>
              <w:t xml:space="preserve"> study report.</w:t>
            </w:r>
          </w:p>
          <w:p w14:paraId="177F2900" w14:textId="6EAB0DCA" w:rsidR="00AD35E7" w:rsidRPr="00BB4D81" w:rsidRDefault="00AD35E7" w:rsidP="00555AE4">
            <w:pPr>
              <w:pStyle w:val="ListParagraph"/>
              <w:jc w:val="both"/>
              <w:rPr>
                <w:rFonts w:ascii="Segoe UI" w:eastAsia="Calibri" w:hAnsi="Segoe UI" w:cs="Segoe UI"/>
                <w:sz w:val="20"/>
                <w:szCs w:val="20"/>
              </w:rPr>
            </w:pPr>
            <w:r w:rsidRPr="00BB4D81">
              <w:rPr>
                <w:rFonts w:ascii="Segoe UI" w:eastAsia="Calibri" w:hAnsi="Segoe UI" w:cs="Segoe UI"/>
                <w:sz w:val="20"/>
                <w:szCs w:val="20"/>
              </w:rPr>
              <w:t xml:space="preserve">5: clinical study report)   </w:t>
            </w:r>
          </w:p>
          <w:p w14:paraId="0454B0FB" w14:textId="77777777" w:rsidR="00AD35E7" w:rsidRPr="00BB4D81" w:rsidRDefault="00AD35E7" w:rsidP="008F1340">
            <w:pPr>
              <w:pStyle w:val="ListParagraph"/>
              <w:numPr>
                <w:ilvl w:val="0"/>
                <w:numId w:val="21"/>
              </w:numPr>
              <w:jc w:val="both"/>
              <w:rPr>
                <w:rFonts w:ascii="Segoe UI" w:eastAsia="Calibri" w:hAnsi="Segoe UI" w:cs="Segoe UI"/>
                <w:sz w:val="20"/>
                <w:szCs w:val="20"/>
              </w:rPr>
            </w:pPr>
            <w:r w:rsidRPr="00BB4D81">
              <w:rPr>
                <w:rFonts w:ascii="Segoe UI" w:eastAsia="Calibri" w:hAnsi="Segoe UI" w:cs="Segoe UI"/>
                <w:sz w:val="20"/>
                <w:szCs w:val="20"/>
              </w:rPr>
              <w:t>Variations</w:t>
            </w:r>
          </w:p>
        </w:tc>
      </w:tr>
      <w:tr w:rsidR="00AD35E7" w:rsidRPr="00BB4D81" w14:paraId="1DFBF84A" w14:textId="77777777" w:rsidTr="00555AE4">
        <w:tc>
          <w:tcPr>
            <w:tcW w:w="9016" w:type="dxa"/>
          </w:tcPr>
          <w:p w14:paraId="31C998E9"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Part C</w:t>
            </w:r>
          </w:p>
        </w:tc>
      </w:tr>
      <w:tr w:rsidR="00AD35E7" w:rsidRPr="00BB4D81" w14:paraId="17322C5C" w14:textId="77777777" w:rsidTr="00555AE4">
        <w:tc>
          <w:tcPr>
            <w:tcW w:w="9016" w:type="dxa"/>
          </w:tcPr>
          <w:p w14:paraId="6670F9F5"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Technical Annexes</w:t>
            </w:r>
          </w:p>
        </w:tc>
      </w:tr>
      <w:tr w:rsidR="00AD35E7" w:rsidRPr="00BB4D81" w14:paraId="77F43744" w14:textId="77777777" w:rsidTr="00555AE4">
        <w:tc>
          <w:tcPr>
            <w:tcW w:w="9016" w:type="dxa"/>
          </w:tcPr>
          <w:p w14:paraId="7ADC7EAA"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Part D</w:t>
            </w:r>
          </w:p>
        </w:tc>
      </w:tr>
      <w:tr w:rsidR="00AD35E7" w:rsidRPr="00BB4D81" w14:paraId="2F619DB9" w14:textId="77777777" w:rsidTr="00555AE4">
        <w:tc>
          <w:tcPr>
            <w:tcW w:w="9016" w:type="dxa"/>
          </w:tcPr>
          <w:p w14:paraId="6EF9211D" w14:textId="77777777" w:rsidR="00AD35E7" w:rsidRPr="00BB4D81" w:rsidRDefault="00AD35E7" w:rsidP="008F1340">
            <w:pPr>
              <w:pStyle w:val="ListParagraph"/>
              <w:numPr>
                <w:ilvl w:val="0"/>
                <w:numId w:val="21"/>
              </w:numPr>
              <w:jc w:val="both"/>
              <w:rPr>
                <w:rFonts w:ascii="Segoe UI" w:eastAsia="Calibri" w:hAnsi="Segoe UI" w:cs="Segoe UI"/>
                <w:sz w:val="20"/>
                <w:szCs w:val="20"/>
              </w:rPr>
            </w:pPr>
            <w:r w:rsidRPr="00BB4D81">
              <w:rPr>
                <w:rFonts w:ascii="Segoe UI" w:eastAsia="Calibri" w:hAnsi="Segoe UI" w:cs="Segoe UI"/>
                <w:sz w:val="20"/>
                <w:szCs w:val="20"/>
              </w:rPr>
              <w:t>Review and evaluation</w:t>
            </w:r>
          </w:p>
          <w:p w14:paraId="667847A6" w14:textId="77777777" w:rsidR="00AD35E7" w:rsidRPr="00BB4D81" w:rsidRDefault="00AD35E7" w:rsidP="008F1340">
            <w:pPr>
              <w:pStyle w:val="ListParagraph"/>
              <w:numPr>
                <w:ilvl w:val="0"/>
                <w:numId w:val="21"/>
              </w:numPr>
              <w:jc w:val="both"/>
              <w:rPr>
                <w:rFonts w:ascii="Segoe UI" w:eastAsia="Calibri" w:hAnsi="Segoe UI" w:cs="Segoe UI"/>
                <w:sz w:val="20"/>
                <w:szCs w:val="20"/>
              </w:rPr>
            </w:pPr>
            <w:r w:rsidRPr="00BB4D81">
              <w:rPr>
                <w:rFonts w:ascii="Segoe UI" w:eastAsia="Calibri" w:hAnsi="Segoe UI" w:cs="Segoe UI"/>
                <w:sz w:val="20"/>
                <w:szCs w:val="20"/>
              </w:rPr>
              <w:t>Authorisation</w:t>
            </w:r>
          </w:p>
        </w:tc>
      </w:tr>
      <w:tr w:rsidR="00AD35E7" w:rsidRPr="00BB4D81" w14:paraId="6285140F" w14:textId="77777777" w:rsidTr="00555AE4">
        <w:tc>
          <w:tcPr>
            <w:tcW w:w="9016" w:type="dxa"/>
          </w:tcPr>
          <w:p w14:paraId="4EEC83B2"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Part E</w:t>
            </w:r>
          </w:p>
        </w:tc>
      </w:tr>
      <w:tr w:rsidR="00AD35E7" w:rsidRPr="00BB4D81" w14:paraId="38B7D5F0" w14:textId="77777777" w:rsidTr="00555AE4">
        <w:tc>
          <w:tcPr>
            <w:tcW w:w="9016" w:type="dxa"/>
          </w:tcPr>
          <w:p w14:paraId="265F7FD5" w14:textId="77777777" w:rsidR="00AD35E7" w:rsidRPr="00BB4D81" w:rsidRDefault="00AD35E7" w:rsidP="00555AE4">
            <w:pPr>
              <w:jc w:val="both"/>
              <w:rPr>
                <w:rFonts w:ascii="Segoe UI" w:eastAsia="Calibri" w:hAnsi="Segoe UI" w:cs="Segoe UI"/>
                <w:sz w:val="20"/>
                <w:szCs w:val="20"/>
              </w:rPr>
            </w:pPr>
            <w:r w:rsidRPr="00BB4D81">
              <w:rPr>
                <w:rFonts w:ascii="Segoe UI" w:eastAsia="Calibri" w:hAnsi="Segoe UI" w:cs="Segoe UI"/>
                <w:sz w:val="20"/>
                <w:szCs w:val="20"/>
              </w:rPr>
              <w:t>Framework of Competent Authority</w:t>
            </w:r>
          </w:p>
        </w:tc>
      </w:tr>
    </w:tbl>
    <w:p w14:paraId="6342A6B7" w14:textId="2DFB795C" w:rsidR="00AD35E7" w:rsidRPr="00BB4D81" w:rsidRDefault="000A21BE" w:rsidP="00AD35E7">
      <w:pPr>
        <w:jc w:val="both"/>
        <w:rPr>
          <w:rFonts w:ascii="Segoe UI" w:hAnsi="Segoe UI" w:cs="Segoe UI"/>
          <w:sz w:val="20"/>
          <w:szCs w:val="20"/>
        </w:rPr>
      </w:pPr>
      <w:r w:rsidRPr="00BB4D81">
        <w:rPr>
          <w:rFonts w:ascii="Segoe UI" w:hAnsi="Segoe UI" w:cs="Segoe UI"/>
          <w:sz w:val="20"/>
          <w:szCs w:val="20"/>
        </w:rPr>
        <w:t>Table 5: New proposed guideline template</w:t>
      </w:r>
    </w:p>
    <w:p w14:paraId="45F35CD9" w14:textId="6050D932" w:rsidR="00332CCC" w:rsidRPr="007857CF" w:rsidRDefault="007D1C92" w:rsidP="008F1340">
      <w:pPr>
        <w:pStyle w:val="Heading2"/>
        <w:numPr>
          <w:ilvl w:val="0"/>
          <w:numId w:val="3"/>
        </w:numPr>
        <w:rPr>
          <w:rFonts w:eastAsia="Times New Roman"/>
          <w:b/>
          <w:lang w:eastAsia="en-US"/>
        </w:rPr>
      </w:pPr>
      <w:bookmarkStart w:id="5" w:name="_Toc48388673"/>
      <w:r w:rsidRPr="007857CF">
        <w:rPr>
          <w:rFonts w:eastAsia="Times New Roman"/>
          <w:b/>
          <w:lang w:eastAsia="en-US"/>
        </w:rPr>
        <w:t xml:space="preserve">Part A - </w:t>
      </w:r>
      <w:r w:rsidR="00AD35E7" w:rsidRPr="007857CF">
        <w:rPr>
          <w:rFonts w:eastAsia="Times New Roman"/>
          <w:b/>
          <w:lang w:eastAsia="en-US"/>
        </w:rPr>
        <w:t>Risk Assessment</w:t>
      </w:r>
      <w:bookmarkEnd w:id="5"/>
      <w:r w:rsidRPr="007857CF">
        <w:rPr>
          <w:rFonts w:eastAsia="Times New Roman"/>
          <w:b/>
          <w:lang w:eastAsia="en-US"/>
        </w:rPr>
        <w:t xml:space="preserve"> </w:t>
      </w:r>
    </w:p>
    <w:p w14:paraId="2C51BD7A" w14:textId="5CC6A674" w:rsidR="00332CCC" w:rsidRPr="00BB4D81" w:rsidRDefault="00332CCC" w:rsidP="00332CCC">
      <w:pPr>
        <w:rPr>
          <w:lang w:eastAsia="en-US"/>
        </w:rPr>
      </w:pPr>
    </w:p>
    <w:p w14:paraId="6977B385" w14:textId="2E1D8734" w:rsidR="003F01E7" w:rsidRPr="007857CF" w:rsidRDefault="00E3603F" w:rsidP="009E1008">
      <w:pPr>
        <w:jc w:val="both"/>
        <w:rPr>
          <w:rFonts w:ascii="Segoe UI" w:eastAsia="Calibri" w:hAnsi="Segoe UI" w:cs="Segoe UI"/>
          <w:b/>
          <w:sz w:val="20"/>
          <w:szCs w:val="20"/>
        </w:rPr>
      </w:pPr>
      <w:r w:rsidRPr="007857CF">
        <w:rPr>
          <w:rFonts w:ascii="Segoe UI" w:eastAsia="Calibri" w:hAnsi="Segoe UI" w:cs="Segoe UI"/>
          <w:b/>
          <w:sz w:val="20"/>
          <w:szCs w:val="20"/>
        </w:rPr>
        <w:t>R</w:t>
      </w:r>
      <w:r w:rsidR="003F01E7" w:rsidRPr="007857CF">
        <w:rPr>
          <w:rFonts w:ascii="Segoe UI" w:eastAsia="Calibri" w:hAnsi="Segoe UI" w:cs="Segoe UI"/>
          <w:b/>
          <w:sz w:val="20"/>
          <w:szCs w:val="20"/>
        </w:rPr>
        <w:t>isk assessment</w:t>
      </w:r>
      <w:r w:rsidRPr="007857CF">
        <w:rPr>
          <w:rFonts w:ascii="Segoe UI" w:eastAsia="Calibri" w:hAnsi="Segoe UI" w:cs="Segoe UI"/>
          <w:b/>
          <w:sz w:val="20"/>
          <w:szCs w:val="20"/>
        </w:rPr>
        <w:t xml:space="preserve"> </w:t>
      </w:r>
      <w:r w:rsidR="00FD6EC4" w:rsidRPr="007857CF">
        <w:rPr>
          <w:rFonts w:ascii="Segoe UI" w:eastAsia="Calibri" w:hAnsi="Segoe UI" w:cs="Segoe UI"/>
          <w:b/>
          <w:sz w:val="20"/>
          <w:szCs w:val="20"/>
        </w:rPr>
        <w:t>-</w:t>
      </w:r>
      <w:r w:rsidRPr="007857CF">
        <w:rPr>
          <w:rFonts w:ascii="Segoe UI" w:eastAsia="Calibri" w:hAnsi="Segoe UI" w:cs="Segoe UI"/>
          <w:b/>
          <w:sz w:val="20"/>
          <w:szCs w:val="20"/>
        </w:rPr>
        <w:t xml:space="preserve"> WP5 Survey</w:t>
      </w:r>
    </w:p>
    <w:p w14:paraId="5EA387FC" w14:textId="094ACF22" w:rsidR="003C181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The survey results indicated that 75%</w:t>
      </w:r>
      <w:r w:rsidR="00C45302" w:rsidRPr="00BB4D81">
        <w:rPr>
          <w:rFonts w:ascii="Segoe UI" w:eastAsia="Calibri" w:hAnsi="Segoe UI" w:cs="Segoe UI"/>
          <w:sz w:val="20"/>
          <w:szCs w:val="20"/>
        </w:rPr>
        <w:t xml:space="preserve"> (15/20)</w:t>
      </w:r>
      <w:r w:rsidRPr="00BB4D81">
        <w:rPr>
          <w:rFonts w:ascii="Segoe UI" w:eastAsia="Calibri" w:hAnsi="Segoe UI" w:cs="Segoe UI"/>
          <w:sz w:val="20"/>
          <w:szCs w:val="20"/>
        </w:rPr>
        <w:t xml:space="preserve"> of respondents specified that there was no risk categorisation system in place for application </w:t>
      </w:r>
      <w:r w:rsidR="00676D87" w:rsidRPr="00BB4D81">
        <w:rPr>
          <w:rFonts w:ascii="Segoe UI" w:eastAsia="Calibri" w:hAnsi="Segoe UI" w:cs="Segoe UI"/>
          <w:sz w:val="20"/>
          <w:szCs w:val="20"/>
        </w:rPr>
        <w:t>of</w:t>
      </w:r>
      <w:r w:rsidRPr="00BB4D81">
        <w:rPr>
          <w:rFonts w:ascii="Segoe UI" w:eastAsia="Calibri" w:hAnsi="Segoe UI" w:cs="Segoe UI"/>
          <w:sz w:val="20"/>
          <w:szCs w:val="20"/>
        </w:rPr>
        <w:t xml:space="preserve"> changes to existing applications / or applications for authorisation of new or novel activities, products, processes or clinical indications. </w:t>
      </w:r>
      <w:r w:rsidR="00C45302" w:rsidRPr="00BB4D81">
        <w:rPr>
          <w:rFonts w:ascii="Segoe UI" w:eastAsia="Calibri" w:hAnsi="Segoe UI" w:cs="Segoe UI"/>
          <w:sz w:val="20"/>
          <w:szCs w:val="20"/>
        </w:rPr>
        <w:t>With 25% (</w:t>
      </w:r>
      <w:r w:rsidR="00947F90" w:rsidRPr="00BB4D81">
        <w:rPr>
          <w:rFonts w:ascii="Segoe UI" w:eastAsia="Calibri" w:hAnsi="Segoe UI" w:cs="Segoe UI"/>
          <w:sz w:val="20"/>
          <w:szCs w:val="20"/>
        </w:rPr>
        <w:t>5</w:t>
      </w:r>
      <w:r w:rsidR="00C45302" w:rsidRPr="00BB4D81">
        <w:rPr>
          <w:rFonts w:ascii="Segoe UI" w:eastAsia="Calibri" w:hAnsi="Segoe UI" w:cs="Segoe UI"/>
          <w:sz w:val="20"/>
          <w:szCs w:val="20"/>
        </w:rPr>
        <w:t xml:space="preserve">/20) indicating that there was a risk </w:t>
      </w:r>
      <w:r w:rsidR="003C2A0D" w:rsidRPr="00BB4D81">
        <w:rPr>
          <w:rFonts w:ascii="Segoe UI" w:eastAsia="Calibri" w:hAnsi="Segoe UI" w:cs="Segoe UI"/>
          <w:sz w:val="20"/>
          <w:szCs w:val="20"/>
        </w:rPr>
        <w:t xml:space="preserve">categorisation system in place for the application of changes to existing authorisation, with 2 of the same CAs indicating that there was also a system in place for applications for authorisation of new / novel activities, products, processes, or clinical indications. </w:t>
      </w:r>
      <w:r w:rsidR="00A476AB" w:rsidRPr="00BB4D81">
        <w:rPr>
          <w:rFonts w:ascii="Segoe UI" w:eastAsia="Calibri" w:hAnsi="Segoe UI" w:cs="Segoe UI"/>
          <w:sz w:val="20"/>
          <w:szCs w:val="20"/>
        </w:rPr>
        <w:t>The question was also asked as to whether the outcome of the risk assessment determined specific requirements for approval of the application, 21% (4/19) indicated yes, 16% (3/19) indicated no and 63% (12/19) indicated that it was not applicable.</w:t>
      </w:r>
    </w:p>
    <w:p w14:paraId="49A81159" w14:textId="4E292E94"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 xml:space="preserve">In addition 63% </w:t>
      </w:r>
      <w:r w:rsidR="00C45302" w:rsidRPr="00BB4D81">
        <w:rPr>
          <w:rFonts w:ascii="Segoe UI" w:eastAsia="Calibri" w:hAnsi="Segoe UI" w:cs="Segoe UI"/>
          <w:sz w:val="20"/>
          <w:szCs w:val="20"/>
        </w:rPr>
        <w:t xml:space="preserve">(10/16) </w:t>
      </w:r>
      <w:r w:rsidRPr="00BB4D81">
        <w:rPr>
          <w:rFonts w:ascii="Segoe UI" w:eastAsia="Calibri" w:hAnsi="Segoe UI" w:cs="Segoe UI"/>
          <w:sz w:val="20"/>
          <w:szCs w:val="20"/>
        </w:rPr>
        <w:t>of CA’s who replied</w:t>
      </w:r>
      <w:r w:rsidR="00947F90" w:rsidRPr="00BB4D81">
        <w:rPr>
          <w:rFonts w:ascii="Segoe UI" w:eastAsia="Calibri" w:hAnsi="Segoe UI" w:cs="Segoe UI"/>
          <w:sz w:val="20"/>
          <w:szCs w:val="20"/>
        </w:rPr>
        <w:t xml:space="preserve"> to the survey</w:t>
      </w:r>
      <w:r w:rsidRPr="00BB4D81">
        <w:rPr>
          <w:rFonts w:ascii="Segoe UI" w:eastAsia="Calibri" w:hAnsi="Segoe UI" w:cs="Segoe UI"/>
          <w:sz w:val="20"/>
          <w:szCs w:val="20"/>
        </w:rPr>
        <w:t xml:space="preserve"> did not</w:t>
      </w:r>
      <w:r w:rsidR="0093210F">
        <w:rPr>
          <w:rFonts w:ascii="Segoe UI" w:eastAsia="Calibri" w:hAnsi="Segoe UI" w:cs="Segoe UI"/>
          <w:sz w:val="20"/>
          <w:szCs w:val="20"/>
        </w:rPr>
        <w:t xml:space="preserve"> currently intend to use the EURO</w:t>
      </w:r>
      <w:r w:rsidRPr="00BB4D81">
        <w:rPr>
          <w:rFonts w:ascii="Segoe UI" w:eastAsia="Calibri" w:hAnsi="Segoe UI" w:cs="Segoe UI"/>
          <w:sz w:val="20"/>
          <w:szCs w:val="20"/>
        </w:rPr>
        <w:t>GTPII tool as a basis for risk assessment in the regulatory context.</w:t>
      </w:r>
      <w:r w:rsidR="003C1818" w:rsidRPr="00BB4D81">
        <w:rPr>
          <w:rFonts w:ascii="Segoe UI" w:eastAsia="Calibri" w:hAnsi="Segoe UI" w:cs="Segoe UI"/>
          <w:sz w:val="20"/>
          <w:szCs w:val="20"/>
        </w:rPr>
        <w:t xml:space="preserve"> With 23% (</w:t>
      </w:r>
      <w:r w:rsidR="005F0F28" w:rsidRPr="00BB4D81">
        <w:rPr>
          <w:rFonts w:ascii="Segoe UI" w:eastAsia="Calibri" w:hAnsi="Segoe UI" w:cs="Segoe UI"/>
          <w:sz w:val="20"/>
          <w:szCs w:val="20"/>
        </w:rPr>
        <w:t>3/13),</w:t>
      </w:r>
      <w:r w:rsidR="003C1818" w:rsidRPr="00BB4D81">
        <w:rPr>
          <w:rFonts w:ascii="Segoe UI" w:eastAsia="Calibri" w:hAnsi="Segoe UI" w:cs="Segoe UI"/>
          <w:sz w:val="20"/>
          <w:szCs w:val="20"/>
        </w:rPr>
        <w:t xml:space="preserve"> indicating that the</w:t>
      </w:r>
      <w:r w:rsidR="0093210F">
        <w:rPr>
          <w:rFonts w:ascii="Segoe UI" w:eastAsia="Calibri" w:hAnsi="Segoe UI" w:cs="Segoe UI"/>
          <w:sz w:val="20"/>
          <w:szCs w:val="20"/>
        </w:rPr>
        <w:t xml:space="preserve"> risk categories defined in EURO</w:t>
      </w:r>
      <w:r w:rsidR="003C1818" w:rsidRPr="00BB4D81">
        <w:rPr>
          <w:rFonts w:ascii="Segoe UI" w:eastAsia="Calibri" w:hAnsi="Segoe UI" w:cs="Segoe UI"/>
          <w:sz w:val="20"/>
          <w:szCs w:val="20"/>
        </w:rPr>
        <w:t>GTPII were comparable with the categories within their CA. The risk categories aligned were with regards to characterisation of the process and ethical principles and considerations.</w:t>
      </w:r>
    </w:p>
    <w:p w14:paraId="68AA8A8E" w14:textId="129A30E0" w:rsidR="00F76523" w:rsidRDefault="005F0F28" w:rsidP="00C91E2A">
      <w:pPr>
        <w:jc w:val="both"/>
        <w:rPr>
          <w:rFonts w:ascii="Segoe UI" w:eastAsia="Calibri" w:hAnsi="Segoe UI" w:cs="Segoe UI"/>
          <w:sz w:val="20"/>
          <w:szCs w:val="20"/>
        </w:rPr>
      </w:pPr>
      <w:r w:rsidRPr="00BB4D81">
        <w:rPr>
          <w:rFonts w:ascii="Segoe UI" w:eastAsia="Calibri" w:hAnsi="Segoe UI" w:cs="Segoe UI"/>
          <w:sz w:val="20"/>
          <w:szCs w:val="20"/>
        </w:rPr>
        <w:t>Based on</w:t>
      </w:r>
      <w:r w:rsidR="009E1008" w:rsidRPr="00BB4D81">
        <w:rPr>
          <w:rFonts w:ascii="Segoe UI" w:eastAsia="Calibri" w:hAnsi="Segoe UI" w:cs="Segoe UI"/>
          <w:sz w:val="20"/>
          <w:szCs w:val="20"/>
        </w:rPr>
        <w:t xml:space="preserve"> the feedback received from the survey, it was evident that there was no current widespread use of risk categorisation at CA level. </w:t>
      </w:r>
      <w:r w:rsidR="00C91E2A" w:rsidRPr="00BB4D81">
        <w:rPr>
          <w:rFonts w:ascii="Segoe UI" w:eastAsia="Calibri" w:hAnsi="Segoe UI" w:cs="Segoe UI"/>
          <w:sz w:val="20"/>
          <w:szCs w:val="20"/>
        </w:rPr>
        <w:t xml:space="preserve"> The lack of widespread use of risk categorisation at CA level perhaps highlights a lack of familiarity at CA level with the </w:t>
      </w:r>
      <w:r w:rsidR="0093210F">
        <w:rPr>
          <w:rFonts w:ascii="Segoe UI" w:eastAsia="Calibri" w:hAnsi="Segoe UI" w:cs="Segoe UI"/>
          <w:sz w:val="20"/>
          <w:szCs w:val="20"/>
        </w:rPr>
        <w:t>EURO</w:t>
      </w:r>
      <w:r w:rsidR="00C91E2A" w:rsidRPr="00BB4D81">
        <w:rPr>
          <w:rFonts w:ascii="Segoe UI" w:eastAsia="Calibri" w:hAnsi="Segoe UI" w:cs="Segoe UI"/>
          <w:sz w:val="20"/>
          <w:szCs w:val="20"/>
        </w:rPr>
        <w:t>GTP II tool.  This could indicate a requirement for further targeted training of inspectors / assessors.</w:t>
      </w:r>
    </w:p>
    <w:p w14:paraId="4051B9DF" w14:textId="77777777" w:rsidR="00F76523" w:rsidRDefault="00F76523">
      <w:pPr>
        <w:rPr>
          <w:rFonts w:ascii="Segoe UI" w:eastAsia="Calibri" w:hAnsi="Segoe UI" w:cs="Segoe UI"/>
          <w:sz w:val="20"/>
          <w:szCs w:val="20"/>
        </w:rPr>
      </w:pPr>
      <w:r>
        <w:rPr>
          <w:rFonts w:ascii="Segoe UI" w:eastAsia="Calibri" w:hAnsi="Segoe UI" w:cs="Segoe UI"/>
          <w:sz w:val="20"/>
          <w:szCs w:val="20"/>
        </w:rPr>
        <w:br w:type="page"/>
      </w:r>
    </w:p>
    <w:p w14:paraId="416C42CE" w14:textId="40A1A487" w:rsidR="003F01E7" w:rsidRPr="007857CF" w:rsidRDefault="00E3603F" w:rsidP="003F01E7">
      <w:pPr>
        <w:jc w:val="both"/>
        <w:rPr>
          <w:rFonts w:ascii="Segoe UI" w:eastAsia="Calibri" w:hAnsi="Segoe UI" w:cs="Segoe UI"/>
          <w:b/>
          <w:sz w:val="20"/>
          <w:szCs w:val="20"/>
        </w:rPr>
      </w:pPr>
      <w:r w:rsidRPr="007857CF">
        <w:rPr>
          <w:rFonts w:ascii="Segoe UI" w:eastAsia="Calibri" w:hAnsi="Segoe UI" w:cs="Segoe UI"/>
          <w:b/>
          <w:sz w:val="20"/>
          <w:szCs w:val="20"/>
        </w:rPr>
        <w:t>Risk</w:t>
      </w:r>
      <w:r w:rsidR="003F01E7" w:rsidRPr="007857CF">
        <w:rPr>
          <w:rFonts w:ascii="Segoe UI" w:eastAsia="Calibri" w:hAnsi="Segoe UI" w:cs="Segoe UI"/>
          <w:b/>
          <w:sz w:val="20"/>
          <w:szCs w:val="20"/>
        </w:rPr>
        <w:t xml:space="preserve"> assessment</w:t>
      </w:r>
      <w:r w:rsidRPr="007857CF">
        <w:rPr>
          <w:rFonts w:ascii="Segoe UI" w:eastAsia="Calibri" w:hAnsi="Segoe UI" w:cs="Segoe UI"/>
          <w:b/>
          <w:sz w:val="20"/>
          <w:szCs w:val="20"/>
        </w:rPr>
        <w:t xml:space="preserve"> </w:t>
      </w:r>
      <w:r w:rsidR="00FD6EC4" w:rsidRPr="007857CF">
        <w:rPr>
          <w:rFonts w:ascii="Segoe UI" w:eastAsia="Calibri" w:hAnsi="Segoe UI" w:cs="Segoe UI"/>
          <w:b/>
          <w:sz w:val="20"/>
          <w:szCs w:val="20"/>
        </w:rPr>
        <w:t>-</w:t>
      </w:r>
      <w:r w:rsidRPr="007857CF">
        <w:rPr>
          <w:rFonts w:ascii="Segoe UI" w:eastAsia="Calibri" w:hAnsi="Segoe UI" w:cs="Segoe UI"/>
          <w:b/>
          <w:sz w:val="20"/>
          <w:szCs w:val="20"/>
        </w:rPr>
        <w:t xml:space="preserve"> Desk-Based Review</w:t>
      </w:r>
    </w:p>
    <w:p w14:paraId="51068A4E" w14:textId="3D31FAB8" w:rsidR="003F01E7" w:rsidRPr="00865EBD" w:rsidRDefault="003F01E7" w:rsidP="003F01E7">
      <w:pPr>
        <w:jc w:val="both"/>
        <w:rPr>
          <w:rFonts w:ascii="Segoe UI" w:eastAsia="Calibri" w:hAnsi="Segoe UI" w:cs="Segoe UI"/>
          <w:sz w:val="20"/>
          <w:szCs w:val="20"/>
        </w:rPr>
      </w:pPr>
      <w:r w:rsidRPr="00865EBD">
        <w:rPr>
          <w:rFonts w:ascii="Segoe UI" w:eastAsia="Calibri" w:hAnsi="Segoe UI" w:cs="Segoe UI"/>
          <w:sz w:val="20"/>
          <w:szCs w:val="20"/>
        </w:rPr>
        <w:t>Medical Devices</w:t>
      </w:r>
    </w:p>
    <w:p w14:paraId="02F4A044" w14:textId="497E6F05" w:rsidR="003F01E7" w:rsidRPr="00BB4D81" w:rsidRDefault="003F01E7" w:rsidP="003F01E7">
      <w:pPr>
        <w:jc w:val="both"/>
        <w:rPr>
          <w:rFonts w:ascii="Segoe UI" w:hAnsi="Segoe UI" w:cs="Segoe UI"/>
          <w:sz w:val="20"/>
          <w:szCs w:val="20"/>
        </w:rPr>
      </w:pPr>
      <w:r w:rsidRPr="00BB4D81">
        <w:rPr>
          <w:rFonts w:ascii="Segoe UI" w:hAnsi="Segoe UI" w:cs="Segoe UI"/>
          <w:sz w:val="20"/>
          <w:szCs w:val="20"/>
        </w:rPr>
        <w:t>Annex VIII of the Medical Devices Regulation (EU) 2017/745</w:t>
      </w:r>
      <w:r w:rsidR="00C5423C" w:rsidRPr="007857CF">
        <w:rPr>
          <w:rFonts w:ascii="Segoe UI" w:hAnsi="Segoe UI" w:cs="Segoe UI"/>
          <w:sz w:val="20"/>
          <w:szCs w:val="20"/>
          <w:vertAlign w:val="superscript"/>
        </w:rPr>
        <w:t>37</w:t>
      </w:r>
      <w:r w:rsidRPr="00BB4D81">
        <w:rPr>
          <w:rFonts w:ascii="Segoe UI" w:hAnsi="Segoe UI" w:cs="Segoe UI"/>
          <w:sz w:val="20"/>
          <w:szCs w:val="20"/>
        </w:rPr>
        <w:t xml:space="preserve"> outlines the classification rules for medical devices. Devices can be classified into four risk groups; Class I, IIa, IIb and III.  Class I represents the lowest risk, Class III is the highest.  There are 22 rules for determining the classification of a device; these are described in Chapter III of Annex VIII.</w:t>
      </w:r>
    </w:p>
    <w:p w14:paraId="7DB50094" w14:textId="77777777" w:rsidR="003F01E7" w:rsidRPr="00BB4D81" w:rsidRDefault="003F01E7" w:rsidP="003F01E7">
      <w:pPr>
        <w:spacing w:line="360" w:lineRule="auto"/>
        <w:jc w:val="both"/>
        <w:rPr>
          <w:rFonts w:ascii="Segoe UI" w:hAnsi="Segoe UI" w:cs="Segoe UI"/>
          <w:sz w:val="20"/>
          <w:szCs w:val="20"/>
        </w:rPr>
      </w:pPr>
      <w:r w:rsidRPr="00BB4D81">
        <w:rPr>
          <w:rFonts w:ascii="Segoe UI" w:hAnsi="Segoe UI" w:cs="Segoe UI"/>
          <w:sz w:val="20"/>
          <w:szCs w:val="20"/>
        </w:rPr>
        <w:t>Chapter II of Annex VIII provides guidance on implementing the classification rules. There are a number of factors to be considered when implementing the classification rules, including:</w:t>
      </w:r>
    </w:p>
    <w:p w14:paraId="23E43098" w14:textId="77777777" w:rsidR="003F01E7" w:rsidRPr="00BB4D81" w:rsidRDefault="003F01E7" w:rsidP="00A01F03">
      <w:pPr>
        <w:pStyle w:val="ListParagraph"/>
        <w:numPr>
          <w:ilvl w:val="0"/>
          <w:numId w:val="27"/>
        </w:numPr>
        <w:spacing w:line="360" w:lineRule="auto"/>
        <w:jc w:val="both"/>
        <w:rPr>
          <w:rFonts w:ascii="Segoe UI" w:hAnsi="Segoe UI" w:cs="Segoe UI"/>
          <w:sz w:val="20"/>
          <w:szCs w:val="20"/>
        </w:rPr>
      </w:pPr>
      <w:r w:rsidRPr="00BB4D81">
        <w:rPr>
          <w:rFonts w:ascii="Segoe UI" w:hAnsi="Segoe UI" w:cs="Segoe UI"/>
          <w:sz w:val="20"/>
          <w:szCs w:val="20"/>
        </w:rPr>
        <w:t>Application of the classification rules is governed by the intended purpose of the device</w:t>
      </w:r>
    </w:p>
    <w:p w14:paraId="04290752" w14:textId="77777777" w:rsidR="003F01E7" w:rsidRPr="00BB4D81" w:rsidRDefault="003F01E7" w:rsidP="00A01F03">
      <w:pPr>
        <w:pStyle w:val="ListParagraph"/>
        <w:numPr>
          <w:ilvl w:val="0"/>
          <w:numId w:val="27"/>
        </w:numPr>
        <w:spacing w:line="360" w:lineRule="auto"/>
        <w:jc w:val="both"/>
        <w:rPr>
          <w:rFonts w:ascii="Segoe UI" w:hAnsi="Segoe UI" w:cs="Segoe UI"/>
          <w:sz w:val="20"/>
          <w:szCs w:val="20"/>
        </w:rPr>
      </w:pPr>
      <w:r w:rsidRPr="00BB4D81">
        <w:rPr>
          <w:rFonts w:ascii="Segoe UI" w:hAnsi="Segoe UI" w:cs="Segoe UI"/>
          <w:sz w:val="20"/>
          <w:szCs w:val="20"/>
        </w:rPr>
        <w:t>If the device is intended to be used in combination with another device, classification rules apply separately to each device</w:t>
      </w:r>
    </w:p>
    <w:p w14:paraId="350A8EEF" w14:textId="77777777" w:rsidR="003F01E7" w:rsidRPr="00BB4D81" w:rsidRDefault="003F01E7" w:rsidP="00A01F03">
      <w:pPr>
        <w:pStyle w:val="ListParagraph"/>
        <w:numPr>
          <w:ilvl w:val="0"/>
          <w:numId w:val="27"/>
        </w:numPr>
        <w:spacing w:line="360" w:lineRule="auto"/>
        <w:jc w:val="both"/>
        <w:rPr>
          <w:rFonts w:ascii="Segoe UI" w:hAnsi="Segoe UI" w:cs="Segoe UI"/>
          <w:sz w:val="20"/>
          <w:szCs w:val="20"/>
        </w:rPr>
      </w:pPr>
      <w:r w:rsidRPr="00BB4D81">
        <w:rPr>
          <w:rFonts w:ascii="Segoe UI" w:hAnsi="Segoe UI" w:cs="Segoe UI"/>
          <w:sz w:val="20"/>
          <w:szCs w:val="20"/>
        </w:rPr>
        <w:t>If several rules apply to the same device based on its intended purpose, the strictest rule shall apply.</w:t>
      </w:r>
    </w:p>
    <w:p w14:paraId="711A3EDD" w14:textId="77777777" w:rsidR="003F01E7" w:rsidRPr="00BB4D81" w:rsidRDefault="003F01E7" w:rsidP="003F01E7">
      <w:pPr>
        <w:spacing w:line="360" w:lineRule="auto"/>
        <w:jc w:val="both"/>
        <w:rPr>
          <w:rFonts w:ascii="Segoe UI" w:hAnsi="Segoe UI" w:cs="Segoe UI"/>
          <w:sz w:val="20"/>
          <w:szCs w:val="20"/>
        </w:rPr>
      </w:pPr>
      <w:r w:rsidRPr="00BB4D81">
        <w:rPr>
          <w:rFonts w:ascii="Segoe UI" w:hAnsi="Segoe UI" w:cs="Segoe UI"/>
          <w:sz w:val="20"/>
          <w:szCs w:val="20"/>
        </w:rPr>
        <w:t>The factors that determine the risk classification of a device are:</w:t>
      </w:r>
    </w:p>
    <w:p w14:paraId="16EA8E89" w14:textId="77777777" w:rsidR="003F01E7" w:rsidRPr="00BB4D81" w:rsidRDefault="003F01E7" w:rsidP="00A01F03">
      <w:pPr>
        <w:pStyle w:val="ListParagraph"/>
        <w:numPr>
          <w:ilvl w:val="0"/>
          <w:numId w:val="29"/>
        </w:numPr>
        <w:spacing w:line="360" w:lineRule="auto"/>
        <w:rPr>
          <w:rFonts w:ascii="Segoe UI" w:hAnsi="Segoe UI" w:cs="Segoe UI"/>
          <w:sz w:val="20"/>
          <w:szCs w:val="20"/>
        </w:rPr>
      </w:pPr>
      <w:r w:rsidRPr="00BB4D81">
        <w:rPr>
          <w:rFonts w:ascii="Segoe UI" w:hAnsi="Segoe UI" w:cs="Segoe UI"/>
          <w:sz w:val="20"/>
          <w:szCs w:val="20"/>
        </w:rPr>
        <w:t>Degree of invasiveness</w:t>
      </w:r>
    </w:p>
    <w:p w14:paraId="3F6AE720" w14:textId="77777777" w:rsidR="003F01E7" w:rsidRPr="00BB4D81" w:rsidRDefault="003F01E7" w:rsidP="003F01E7">
      <w:pPr>
        <w:pStyle w:val="ListParagraph"/>
        <w:spacing w:line="360" w:lineRule="auto"/>
        <w:jc w:val="both"/>
        <w:rPr>
          <w:rFonts w:ascii="Segoe UI" w:hAnsi="Segoe UI" w:cs="Segoe UI"/>
          <w:sz w:val="20"/>
          <w:szCs w:val="20"/>
        </w:rPr>
      </w:pPr>
      <w:r w:rsidRPr="00BB4D81">
        <w:rPr>
          <w:rFonts w:ascii="Segoe UI" w:hAnsi="Segoe UI" w:cs="Segoe UI"/>
          <w:sz w:val="20"/>
          <w:szCs w:val="20"/>
        </w:rPr>
        <w:t xml:space="preserve">A non-invasive device has the lowest risk classification (Class I), however this can be increased depending on the part of the body the device is on contact with, and their mechanism of action. </w:t>
      </w:r>
    </w:p>
    <w:p w14:paraId="033189CD" w14:textId="77777777" w:rsidR="003F01E7" w:rsidRPr="00BB4D81" w:rsidRDefault="003F01E7" w:rsidP="003F01E7">
      <w:pPr>
        <w:pStyle w:val="ListParagraph"/>
        <w:spacing w:line="360" w:lineRule="auto"/>
        <w:rPr>
          <w:rFonts w:ascii="Segoe UI" w:hAnsi="Segoe UI" w:cs="Segoe UI"/>
          <w:sz w:val="20"/>
          <w:szCs w:val="20"/>
        </w:rPr>
      </w:pPr>
      <w:r w:rsidRPr="00BB4D81">
        <w:rPr>
          <w:rFonts w:ascii="Segoe UI" w:hAnsi="Segoe UI" w:cs="Segoe UI"/>
          <w:sz w:val="20"/>
          <w:szCs w:val="20"/>
        </w:rPr>
        <w:t xml:space="preserve">Invasive devices are classified based on the duration of use, i.e. the greater the duration of use the higher the risk classification, and the part of the body involved. </w:t>
      </w:r>
    </w:p>
    <w:p w14:paraId="1E80226A" w14:textId="77777777" w:rsidR="003F01E7" w:rsidRPr="00BB4D81" w:rsidRDefault="003F01E7" w:rsidP="00A01F03">
      <w:pPr>
        <w:pStyle w:val="ListParagraph"/>
        <w:numPr>
          <w:ilvl w:val="0"/>
          <w:numId w:val="29"/>
        </w:numPr>
        <w:spacing w:line="360" w:lineRule="auto"/>
        <w:rPr>
          <w:rFonts w:ascii="Segoe UI" w:hAnsi="Segoe UI" w:cs="Segoe UI"/>
          <w:sz w:val="20"/>
          <w:szCs w:val="20"/>
        </w:rPr>
      </w:pPr>
      <w:r w:rsidRPr="00BB4D81">
        <w:rPr>
          <w:rFonts w:ascii="Segoe UI" w:hAnsi="Segoe UI" w:cs="Segoe UI"/>
          <w:sz w:val="20"/>
          <w:szCs w:val="20"/>
        </w:rPr>
        <w:t>Duration of Use</w:t>
      </w:r>
    </w:p>
    <w:p w14:paraId="34B5050B" w14:textId="77777777" w:rsidR="003F01E7" w:rsidRPr="00BB4D81" w:rsidRDefault="003F01E7" w:rsidP="003F01E7">
      <w:pPr>
        <w:pStyle w:val="ListParagraph"/>
        <w:spacing w:line="360" w:lineRule="auto"/>
        <w:rPr>
          <w:rFonts w:ascii="Segoe UI" w:hAnsi="Segoe UI" w:cs="Segoe UI"/>
          <w:sz w:val="20"/>
          <w:szCs w:val="20"/>
        </w:rPr>
      </w:pPr>
      <w:r w:rsidRPr="00BB4D81">
        <w:rPr>
          <w:rFonts w:ascii="Segoe UI" w:hAnsi="Segoe UI" w:cs="Segoe UI"/>
          <w:sz w:val="20"/>
          <w:szCs w:val="20"/>
        </w:rPr>
        <w:t>The longer a device is in contact with the body, the higher the risk.</w:t>
      </w:r>
    </w:p>
    <w:p w14:paraId="1F8F3AE2" w14:textId="77777777" w:rsidR="003F01E7" w:rsidRPr="00BB4D81" w:rsidRDefault="003F01E7" w:rsidP="00A01F03">
      <w:pPr>
        <w:pStyle w:val="ListParagraph"/>
        <w:numPr>
          <w:ilvl w:val="0"/>
          <w:numId w:val="28"/>
        </w:numPr>
        <w:spacing w:line="360" w:lineRule="auto"/>
        <w:rPr>
          <w:rFonts w:ascii="Segoe UI" w:hAnsi="Segoe UI" w:cs="Segoe UI"/>
          <w:sz w:val="20"/>
          <w:szCs w:val="20"/>
        </w:rPr>
      </w:pPr>
      <w:r w:rsidRPr="00BB4D81">
        <w:rPr>
          <w:rFonts w:ascii="Segoe UI" w:hAnsi="Segoe UI" w:cs="Segoe UI"/>
          <w:sz w:val="20"/>
          <w:szCs w:val="20"/>
        </w:rPr>
        <w:t>‘Transient’ means normally intended for continuous use for less than 60 minutes</w:t>
      </w:r>
    </w:p>
    <w:p w14:paraId="54D2B94E" w14:textId="77777777" w:rsidR="003F01E7" w:rsidRPr="00BB4D81" w:rsidRDefault="003F01E7" w:rsidP="00A01F03">
      <w:pPr>
        <w:pStyle w:val="ListParagraph"/>
        <w:numPr>
          <w:ilvl w:val="0"/>
          <w:numId w:val="28"/>
        </w:numPr>
        <w:spacing w:line="360" w:lineRule="auto"/>
        <w:rPr>
          <w:rFonts w:ascii="Segoe UI" w:hAnsi="Segoe UI" w:cs="Segoe UI"/>
          <w:sz w:val="20"/>
          <w:szCs w:val="20"/>
        </w:rPr>
      </w:pPr>
      <w:r w:rsidRPr="00BB4D81">
        <w:rPr>
          <w:rFonts w:ascii="Segoe UI" w:hAnsi="Segoe UI" w:cs="Segoe UI"/>
          <w:sz w:val="20"/>
          <w:szCs w:val="20"/>
        </w:rPr>
        <w:t>‘Short term’ means normally intended for continuous use for between 60 minutes and 30 days</w:t>
      </w:r>
    </w:p>
    <w:p w14:paraId="331BD0EF" w14:textId="77777777" w:rsidR="003F01E7" w:rsidRPr="00BB4D81" w:rsidRDefault="003F01E7" w:rsidP="00A01F03">
      <w:pPr>
        <w:pStyle w:val="ListParagraph"/>
        <w:numPr>
          <w:ilvl w:val="0"/>
          <w:numId w:val="28"/>
        </w:numPr>
        <w:spacing w:line="360" w:lineRule="auto"/>
        <w:rPr>
          <w:rFonts w:ascii="Segoe UI" w:hAnsi="Segoe UI" w:cs="Segoe UI"/>
          <w:sz w:val="20"/>
          <w:szCs w:val="20"/>
        </w:rPr>
      </w:pPr>
      <w:r w:rsidRPr="00BB4D81">
        <w:rPr>
          <w:rFonts w:ascii="Segoe UI" w:hAnsi="Segoe UI" w:cs="Segoe UI"/>
          <w:sz w:val="20"/>
          <w:szCs w:val="20"/>
        </w:rPr>
        <w:t xml:space="preserve">‘Long term’ means normally intended for continuous use for more than 30 days. </w:t>
      </w:r>
    </w:p>
    <w:p w14:paraId="4D2B345E" w14:textId="77777777" w:rsidR="003F01E7" w:rsidRDefault="003F01E7" w:rsidP="00A01F03">
      <w:pPr>
        <w:pStyle w:val="ListParagraph"/>
        <w:numPr>
          <w:ilvl w:val="0"/>
          <w:numId w:val="29"/>
        </w:numPr>
        <w:spacing w:line="360" w:lineRule="auto"/>
        <w:jc w:val="both"/>
        <w:rPr>
          <w:rFonts w:ascii="Segoe UI" w:hAnsi="Segoe UI" w:cs="Segoe UI"/>
          <w:sz w:val="20"/>
          <w:szCs w:val="20"/>
        </w:rPr>
      </w:pPr>
      <w:r w:rsidRPr="00BB4D81">
        <w:rPr>
          <w:rFonts w:ascii="Segoe UI" w:hAnsi="Segoe UI" w:cs="Segoe UI"/>
          <w:sz w:val="20"/>
          <w:szCs w:val="20"/>
        </w:rPr>
        <w:t>Area of the body where the device is intended to be used e.g. Surgically invasive devices intended to be used with the heart or central circulatory system, or central nervous system are the highest risk class (Class III).</w:t>
      </w:r>
    </w:p>
    <w:p w14:paraId="0FEC402A" w14:textId="45DF0298" w:rsidR="006B1A80" w:rsidRDefault="006B1A80">
      <w:pPr>
        <w:rPr>
          <w:rFonts w:ascii="Segoe UI" w:hAnsi="Segoe UI" w:cs="Segoe UI"/>
          <w:sz w:val="20"/>
          <w:szCs w:val="20"/>
        </w:rPr>
      </w:pPr>
      <w:r>
        <w:rPr>
          <w:rFonts w:ascii="Segoe UI" w:hAnsi="Segoe UI" w:cs="Segoe UI"/>
          <w:sz w:val="20"/>
          <w:szCs w:val="20"/>
        </w:rPr>
        <w:br w:type="page"/>
      </w:r>
    </w:p>
    <w:p w14:paraId="0D84E84C" w14:textId="065123F6" w:rsidR="003F01E7" w:rsidRPr="00BB4D81" w:rsidRDefault="003F01E7" w:rsidP="003F01E7">
      <w:pPr>
        <w:rPr>
          <w:rFonts w:ascii="Segoe UI" w:eastAsia="Calibri" w:hAnsi="Segoe UI" w:cs="Segoe UI"/>
          <w:sz w:val="20"/>
          <w:szCs w:val="20"/>
        </w:rPr>
      </w:pPr>
      <w:r w:rsidRPr="00BB4D81">
        <w:rPr>
          <w:rFonts w:ascii="Segoe UI" w:eastAsia="Calibri" w:hAnsi="Segoe UI" w:cs="Segoe UI"/>
          <w:sz w:val="20"/>
          <w:szCs w:val="20"/>
        </w:rPr>
        <w:t>Advanced therapy medicinal products</w:t>
      </w:r>
      <w:r w:rsidR="001713EA">
        <w:rPr>
          <w:rFonts w:ascii="Segoe UI" w:eastAsia="Calibri" w:hAnsi="Segoe UI" w:cs="Segoe UI"/>
          <w:sz w:val="20"/>
          <w:szCs w:val="20"/>
        </w:rPr>
        <w:t xml:space="preserve"> (ATMPs)</w:t>
      </w:r>
      <w:r w:rsidRPr="00BB4D81">
        <w:rPr>
          <w:rFonts w:ascii="Segoe UI" w:eastAsia="Calibri" w:hAnsi="Segoe UI" w:cs="Segoe UI"/>
          <w:sz w:val="20"/>
          <w:szCs w:val="20"/>
        </w:rPr>
        <w:t>:</w:t>
      </w:r>
    </w:p>
    <w:p w14:paraId="3ED05F89" w14:textId="5F5E4886" w:rsidR="003F01E7" w:rsidRPr="00BB4D81" w:rsidRDefault="003F01E7" w:rsidP="003F01E7">
      <w:pPr>
        <w:rPr>
          <w:rFonts w:ascii="Segoe UI" w:eastAsia="Calibri" w:hAnsi="Segoe UI" w:cs="Segoe UI"/>
          <w:sz w:val="20"/>
          <w:szCs w:val="20"/>
        </w:rPr>
      </w:pPr>
      <w:r w:rsidRPr="00BB4D81">
        <w:rPr>
          <w:rFonts w:ascii="Segoe UI" w:eastAsia="Calibri" w:hAnsi="Segoe UI" w:cs="Segoe UI"/>
          <w:sz w:val="20"/>
          <w:szCs w:val="20"/>
        </w:rPr>
        <w:t>The ‘Guideline on human cell-based medicinal products (EMEA/CHMP/410869/2006)</w:t>
      </w:r>
      <w:r w:rsidR="00C3225C">
        <w:rPr>
          <w:rFonts w:ascii="Segoe UI" w:eastAsia="Calibri" w:hAnsi="Segoe UI" w:cs="Segoe UI"/>
          <w:sz w:val="20"/>
          <w:szCs w:val="20"/>
          <w:vertAlign w:val="superscript"/>
        </w:rPr>
        <w:t>10</w:t>
      </w:r>
      <w:r w:rsidRPr="00BB4D81">
        <w:rPr>
          <w:rFonts w:ascii="Segoe UI" w:eastAsia="Calibri" w:hAnsi="Segoe UI" w:cs="Segoe UI"/>
          <w:sz w:val="20"/>
          <w:szCs w:val="20"/>
        </w:rPr>
        <w:t>’ indicates that a risk analysis approach can be used by the applicants to justify the development and evaluation plans and can be a basis for the preparation of a risk management plan.</w:t>
      </w:r>
    </w:p>
    <w:p w14:paraId="5AEDDFE3" w14:textId="42A28BC8" w:rsidR="003F01E7" w:rsidRPr="007857CF" w:rsidRDefault="003F01E7" w:rsidP="003F01E7">
      <w:pPr>
        <w:rPr>
          <w:rFonts w:ascii="Segoe UI" w:eastAsia="Calibri" w:hAnsi="Segoe UI" w:cs="Segoe UI"/>
          <w:sz w:val="20"/>
          <w:szCs w:val="20"/>
          <w:vertAlign w:val="superscript"/>
        </w:rPr>
      </w:pPr>
      <w:r w:rsidRPr="00BB4D81">
        <w:rPr>
          <w:rFonts w:ascii="Segoe UI" w:eastAsia="Calibri" w:hAnsi="Segoe UI" w:cs="Segoe UI"/>
          <w:sz w:val="20"/>
          <w:szCs w:val="20"/>
        </w:rPr>
        <w:t>Further to this, there is the further guideline, ‘Guideline on the risk-based approach according to annex I, part IV of Directive 2001/83/EC applied to Advanced therapy medicinal products’.</w:t>
      </w:r>
      <w:r w:rsidR="00C3225C">
        <w:rPr>
          <w:rFonts w:ascii="Segoe UI" w:eastAsia="Calibri" w:hAnsi="Segoe UI" w:cs="Segoe UI"/>
          <w:sz w:val="20"/>
          <w:szCs w:val="20"/>
          <w:vertAlign w:val="superscript"/>
        </w:rPr>
        <w:t>15</w:t>
      </w:r>
    </w:p>
    <w:p w14:paraId="5574283F" w14:textId="2A97DFB7"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sz w:val="20"/>
          <w:szCs w:val="20"/>
        </w:rPr>
        <w:t>The concept of a ‘Risk-based approach’ was introduced to the legislation with the revision of Annex 1, part IV of Directive 2001/83/EC as amended by Directive 2009/120 EC</w:t>
      </w:r>
      <w:r w:rsidR="00C3225C">
        <w:rPr>
          <w:rFonts w:ascii="Segoe UI" w:eastAsia="Calibri" w:hAnsi="Segoe UI" w:cs="Segoe UI"/>
          <w:sz w:val="20"/>
          <w:szCs w:val="20"/>
          <w:vertAlign w:val="superscript"/>
        </w:rPr>
        <w:t>21</w:t>
      </w:r>
      <w:r w:rsidRPr="00BB4D81">
        <w:rPr>
          <w:rFonts w:ascii="Segoe UI" w:eastAsia="Calibri" w:hAnsi="Segoe UI" w:cs="Segoe UI"/>
          <w:sz w:val="20"/>
          <w:szCs w:val="20"/>
        </w:rPr>
        <w:t>. The aim of the risk-based approach in the development of ATMPs is to determine the extent of quality, non-clinical and clinical data to be included in the Marketing Authorisation Application (MAA), in accordance with the scientific guidelines relating to the quality, safety and efficacy of medicinal products and to justify any deviation from the requirements of this Annex.</w:t>
      </w:r>
      <w:r w:rsidR="00C107C5" w:rsidRPr="00BB4D81">
        <w:rPr>
          <w:rFonts w:ascii="Segoe UI" w:eastAsia="Calibri" w:hAnsi="Segoe UI" w:cs="Segoe UI"/>
          <w:sz w:val="20"/>
          <w:szCs w:val="20"/>
        </w:rPr>
        <w:t xml:space="preserve"> </w:t>
      </w:r>
      <w:r w:rsidRPr="00BB4D81">
        <w:rPr>
          <w:rFonts w:ascii="Segoe UI" w:eastAsia="Calibri" w:hAnsi="Segoe UI" w:cs="Segoe UI"/>
          <w:sz w:val="20"/>
          <w:szCs w:val="20"/>
        </w:rPr>
        <w:t>The risk-based approach is based on the identification of various risks associated with the clinical use of an ATMP and risk factors inherent to the ATMP with respect to quality, safety and efficacy.</w:t>
      </w:r>
    </w:p>
    <w:p w14:paraId="6438D605" w14:textId="77777777"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sz w:val="20"/>
          <w:szCs w:val="20"/>
        </w:rPr>
        <w:t xml:space="preserve">The risk factors associated with a specific risk (e.g. tumourigenicity, treatment failure) are likely to be product specific and multifactorial. Risk factors are related to, for example, the biological characteristics of the product, the manufacturing process, and the specific therapeutic use of the ATMP. </w:t>
      </w:r>
    </w:p>
    <w:p w14:paraId="48E5861A" w14:textId="77777777"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sz w:val="20"/>
          <w:szCs w:val="20"/>
        </w:rPr>
        <w:t>The risk-based approach is defined as a strategy aiming to determine the extent of quality, non-clinical and clinical data to be included in the Marketing Authorisation Application. In accordance with the scientific guidelines relating to the quality, safety and efficacy of medicinal products, and also to justify any deviation from the technical requirements as defined in the Directive 2001/83/EC.</w:t>
      </w:r>
    </w:p>
    <w:p w14:paraId="2856723B" w14:textId="77777777"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sz w:val="20"/>
          <w:szCs w:val="20"/>
        </w:rPr>
        <w:t>For ATMP, it is important to note that this process starts at the beginning of product development and matures over time, as the knowledge of the product and its characteristics increases. Nonetheless, applicants, using the risk-based approach, are expected to present in the application dossier the picture of the risk profiles as it is at the time of MAA (application).</w:t>
      </w:r>
    </w:p>
    <w:p w14:paraId="176912A9" w14:textId="77777777"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sz w:val="20"/>
          <w:szCs w:val="20"/>
        </w:rPr>
        <w:t xml:space="preserve">This guideline describes the intention of the risk-based approach and details its methodological application. The methodology is based on the identification of risks and associated risk factors of an ATMP and the establishment of a specific profile for </w:t>
      </w:r>
      <w:r w:rsidRPr="00BB4D81">
        <w:rPr>
          <w:rFonts w:ascii="Segoe UI" w:eastAsia="Calibri" w:hAnsi="Segoe UI" w:cs="Segoe UI"/>
          <w:b/>
          <w:sz w:val="20"/>
          <w:szCs w:val="20"/>
        </w:rPr>
        <w:t xml:space="preserve">each </w:t>
      </w:r>
      <w:r w:rsidRPr="00BB4D81">
        <w:rPr>
          <w:rFonts w:ascii="Segoe UI" w:eastAsia="Calibri" w:hAnsi="Segoe UI" w:cs="Segoe UI"/>
          <w:sz w:val="20"/>
          <w:szCs w:val="20"/>
        </w:rPr>
        <w:t xml:space="preserve">risk. With the use of the identified risk profile the applicant shall justify the extent of data presented in the various sections of the MAA dossier. </w:t>
      </w:r>
    </w:p>
    <w:p w14:paraId="34FD8CFA" w14:textId="77777777"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sz w:val="20"/>
          <w:szCs w:val="20"/>
        </w:rPr>
        <w:t>Examples of risk factors associated with cell-based medicinal products can include:</w:t>
      </w:r>
    </w:p>
    <w:p w14:paraId="7E161368"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The origin of the cells or tissues (autologous vs. allogeneic).</w:t>
      </w:r>
    </w:p>
    <w:p w14:paraId="2FF36CA7"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The ability of cells to proliferate and differentiate.</w:t>
      </w:r>
    </w:p>
    <w:p w14:paraId="289BFD7D"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The ability to initiate an immune response (as target or effector).</w:t>
      </w:r>
    </w:p>
    <w:p w14:paraId="03586E71"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The level of cell manipulation (in vitro/ex vivo expansion/activation, genetic manipulation)</w:t>
      </w:r>
    </w:p>
    <w:p w14:paraId="7291AA35"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Aspects of the manufacturing process</w:t>
      </w:r>
    </w:p>
    <w:p w14:paraId="593BA631"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Non-cellular components</w:t>
      </w:r>
    </w:p>
    <w:p w14:paraId="60639837"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The mode of administration (ex vivo perfusion, local, systemic) and the duration of exposure (short to permanent).</w:t>
      </w:r>
    </w:p>
    <w:p w14:paraId="67D35DD4" w14:textId="09AE209C" w:rsidR="003F01E7" w:rsidRPr="00BB4D81" w:rsidRDefault="003F01E7" w:rsidP="003F01E7">
      <w:pPr>
        <w:jc w:val="both"/>
        <w:rPr>
          <w:rFonts w:ascii="Segoe UI" w:eastAsia="Calibri" w:hAnsi="Segoe UI" w:cs="Segoe UI"/>
          <w:sz w:val="20"/>
          <w:szCs w:val="20"/>
          <w:u w:val="single"/>
        </w:rPr>
      </w:pPr>
    </w:p>
    <w:p w14:paraId="32C384C7" w14:textId="77777777" w:rsidR="003F01E7" w:rsidRPr="007857CF" w:rsidRDefault="003F01E7" w:rsidP="003F01E7">
      <w:pPr>
        <w:jc w:val="both"/>
        <w:rPr>
          <w:rFonts w:ascii="Segoe UI" w:eastAsia="Calibri" w:hAnsi="Segoe UI" w:cs="Segoe UI"/>
          <w:sz w:val="20"/>
          <w:szCs w:val="20"/>
        </w:rPr>
      </w:pPr>
      <w:r w:rsidRPr="007857CF">
        <w:rPr>
          <w:rFonts w:ascii="Segoe UI" w:eastAsia="Calibri" w:hAnsi="Segoe UI" w:cs="Segoe UI"/>
          <w:sz w:val="20"/>
          <w:szCs w:val="20"/>
        </w:rPr>
        <w:t xml:space="preserve">The Methodology of Risk Profiling of ATMP </w:t>
      </w:r>
    </w:p>
    <w:p w14:paraId="11C99C50" w14:textId="77777777" w:rsidR="003F01E7" w:rsidRPr="00BB4D81" w:rsidRDefault="003F01E7" w:rsidP="003F01E7">
      <w:pPr>
        <w:jc w:val="both"/>
        <w:rPr>
          <w:rFonts w:ascii="Segoe UI" w:eastAsia="Calibri" w:hAnsi="Segoe UI" w:cs="Segoe UI"/>
          <w:iCs/>
          <w:sz w:val="20"/>
          <w:szCs w:val="20"/>
        </w:rPr>
      </w:pPr>
      <w:r w:rsidRPr="00BB4D81">
        <w:rPr>
          <w:rFonts w:ascii="Segoe UI" w:eastAsia="Calibri" w:hAnsi="Segoe UI" w:cs="Segoe UI"/>
          <w:i/>
          <w:iCs/>
          <w:sz w:val="20"/>
          <w:szCs w:val="20"/>
        </w:rPr>
        <w:t>1</w:t>
      </w:r>
      <w:r w:rsidRPr="00BB4D81">
        <w:rPr>
          <w:rFonts w:ascii="Segoe UI" w:eastAsia="Calibri" w:hAnsi="Segoe UI" w:cs="Segoe UI"/>
          <w:i/>
          <w:iCs/>
          <w:sz w:val="20"/>
          <w:szCs w:val="20"/>
          <w:vertAlign w:val="superscript"/>
        </w:rPr>
        <w:t xml:space="preserve">st </w:t>
      </w:r>
      <w:r w:rsidRPr="00BB4D81">
        <w:rPr>
          <w:rFonts w:ascii="Segoe UI" w:eastAsia="Calibri" w:hAnsi="Segoe UI" w:cs="Segoe UI"/>
          <w:i/>
          <w:iCs/>
          <w:sz w:val="20"/>
          <w:szCs w:val="20"/>
        </w:rPr>
        <w:t xml:space="preserve">step: To identify risks associated with the clinical use of the ATMP:  </w:t>
      </w:r>
      <w:r w:rsidRPr="00BB4D81">
        <w:rPr>
          <w:rFonts w:ascii="Segoe UI" w:eastAsia="Calibri" w:hAnsi="Segoe UI" w:cs="Segoe UI"/>
          <w:iCs/>
          <w:sz w:val="20"/>
          <w:szCs w:val="20"/>
        </w:rPr>
        <w:t>The risk-based approach starts with the identification of risks associated with the clinical use of the ATMP, taking into consideration any relevant risks to the patient and/or third parties. Risk identification should start as early as product development and can be supported by reference to published data.</w:t>
      </w:r>
    </w:p>
    <w:p w14:paraId="7E7E709E" w14:textId="77777777"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i/>
          <w:iCs/>
          <w:sz w:val="20"/>
          <w:szCs w:val="20"/>
        </w:rPr>
        <w:t>2</w:t>
      </w:r>
      <w:r w:rsidRPr="00BB4D81">
        <w:rPr>
          <w:rFonts w:ascii="Segoe UI" w:eastAsia="Calibri" w:hAnsi="Segoe UI" w:cs="Segoe UI"/>
          <w:i/>
          <w:iCs/>
          <w:sz w:val="20"/>
          <w:szCs w:val="20"/>
          <w:vertAlign w:val="superscript"/>
        </w:rPr>
        <w:t xml:space="preserve">nd </w:t>
      </w:r>
      <w:r w:rsidRPr="00BB4D81">
        <w:rPr>
          <w:rFonts w:ascii="Segoe UI" w:eastAsia="Calibri" w:hAnsi="Segoe UI" w:cs="Segoe UI"/>
          <w:i/>
          <w:iCs/>
          <w:sz w:val="20"/>
          <w:szCs w:val="20"/>
        </w:rPr>
        <w:t xml:space="preserve">step: To identify product specific risk factors contributing to each identified risk </w:t>
      </w:r>
    </w:p>
    <w:p w14:paraId="53B34925" w14:textId="77777777"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i/>
          <w:iCs/>
          <w:sz w:val="20"/>
          <w:szCs w:val="20"/>
        </w:rPr>
        <w:t>3</w:t>
      </w:r>
      <w:r w:rsidRPr="00BB4D81">
        <w:rPr>
          <w:rFonts w:ascii="Segoe UI" w:eastAsia="Calibri" w:hAnsi="Segoe UI" w:cs="Segoe UI"/>
          <w:i/>
          <w:iCs/>
          <w:sz w:val="20"/>
          <w:szCs w:val="20"/>
          <w:vertAlign w:val="superscript"/>
        </w:rPr>
        <w:t xml:space="preserve">rd </w:t>
      </w:r>
      <w:r w:rsidRPr="00BB4D81">
        <w:rPr>
          <w:rFonts w:ascii="Segoe UI" w:eastAsia="Calibri" w:hAnsi="Segoe UI" w:cs="Segoe UI"/>
          <w:i/>
          <w:iCs/>
          <w:sz w:val="20"/>
          <w:szCs w:val="20"/>
        </w:rPr>
        <w:t xml:space="preserve">step: To map the relevant data for each identified risk factors against each of the identified risks </w:t>
      </w:r>
    </w:p>
    <w:p w14:paraId="2009F213" w14:textId="77777777" w:rsidR="003F01E7" w:rsidRPr="00BB4D81" w:rsidRDefault="003F01E7" w:rsidP="003F01E7">
      <w:pPr>
        <w:jc w:val="both"/>
        <w:rPr>
          <w:rFonts w:ascii="Segoe UI" w:eastAsia="Calibri" w:hAnsi="Segoe UI" w:cs="Segoe UI"/>
          <w:i/>
          <w:iCs/>
          <w:sz w:val="20"/>
          <w:szCs w:val="20"/>
        </w:rPr>
      </w:pPr>
      <w:r w:rsidRPr="00BB4D81">
        <w:rPr>
          <w:rFonts w:ascii="Segoe UI" w:eastAsia="Calibri" w:hAnsi="Segoe UI" w:cs="Segoe UI"/>
          <w:i/>
          <w:iCs/>
          <w:sz w:val="20"/>
          <w:szCs w:val="20"/>
        </w:rPr>
        <w:t>4</w:t>
      </w:r>
      <w:r w:rsidRPr="00BB4D81">
        <w:rPr>
          <w:rFonts w:ascii="Segoe UI" w:eastAsia="Calibri" w:hAnsi="Segoe UI" w:cs="Segoe UI"/>
          <w:i/>
          <w:iCs/>
          <w:sz w:val="20"/>
          <w:szCs w:val="20"/>
          <w:vertAlign w:val="superscript"/>
        </w:rPr>
        <w:t>th</w:t>
      </w:r>
      <w:r w:rsidRPr="00BB4D81">
        <w:rPr>
          <w:rFonts w:ascii="Segoe UI" w:eastAsia="Calibri" w:hAnsi="Segoe UI" w:cs="Segoe UI"/>
          <w:i/>
          <w:iCs/>
          <w:sz w:val="20"/>
          <w:szCs w:val="20"/>
        </w:rPr>
        <w:t xml:space="preserve">step: To conclude on the risk factor – risk relationships </w:t>
      </w:r>
    </w:p>
    <w:p w14:paraId="38989061" w14:textId="77777777" w:rsidR="003F01E7" w:rsidRPr="00BB4D81" w:rsidRDefault="003F01E7" w:rsidP="003F01E7">
      <w:pPr>
        <w:spacing w:line="360" w:lineRule="auto"/>
        <w:jc w:val="both"/>
        <w:rPr>
          <w:rFonts w:ascii="Segoe UI" w:eastAsia="Calibri" w:hAnsi="Segoe UI" w:cs="Segoe UI"/>
          <w:sz w:val="20"/>
          <w:szCs w:val="20"/>
        </w:rPr>
      </w:pPr>
      <w:r w:rsidRPr="00BB4D81">
        <w:rPr>
          <w:rFonts w:ascii="Segoe UI" w:eastAsia="Calibri" w:hAnsi="Segoe UI" w:cs="Segoe UI"/>
          <w:sz w:val="20"/>
          <w:szCs w:val="20"/>
        </w:rPr>
        <w:t>The factors that determine the risk classification of a device are:</w:t>
      </w:r>
    </w:p>
    <w:p w14:paraId="4FE7AC09"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Degree of invasiveness</w:t>
      </w:r>
    </w:p>
    <w:p w14:paraId="05BFA419"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Duration of Use</w:t>
      </w:r>
    </w:p>
    <w:p w14:paraId="240709DB" w14:textId="77777777" w:rsidR="003F01E7" w:rsidRPr="00BB4D81" w:rsidRDefault="003F01E7" w:rsidP="00A01F03">
      <w:pPr>
        <w:numPr>
          <w:ilvl w:val="0"/>
          <w:numId w:val="25"/>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Area of the body where the device is intended to be used.</w:t>
      </w:r>
    </w:p>
    <w:p w14:paraId="51433CF8" w14:textId="77777777" w:rsidR="003F01E7" w:rsidRPr="00BB4D81" w:rsidRDefault="003F01E7" w:rsidP="009E1008">
      <w:pPr>
        <w:jc w:val="both"/>
        <w:rPr>
          <w:rFonts w:ascii="Segoe UI" w:eastAsia="Calibri" w:hAnsi="Segoe UI" w:cs="Segoe UI"/>
          <w:sz w:val="20"/>
          <w:szCs w:val="20"/>
        </w:rPr>
      </w:pPr>
    </w:p>
    <w:p w14:paraId="350716D2" w14:textId="77777777" w:rsidR="00EB4F53" w:rsidRPr="007857CF" w:rsidRDefault="00EB4F53" w:rsidP="00EB4F53">
      <w:pPr>
        <w:jc w:val="both"/>
        <w:rPr>
          <w:rFonts w:ascii="Segoe UI" w:eastAsia="Calibri" w:hAnsi="Segoe UI" w:cs="Segoe UI"/>
          <w:sz w:val="20"/>
          <w:szCs w:val="20"/>
        </w:rPr>
      </w:pPr>
      <w:r w:rsidRPr="007857CF">
        <w:rPr>
          <w:rFonts w:ascii="Segoe UI" w:eastAsia="Calibri" w:hAnsi="Segoe UI" w:cs="Segoe UI"/>
          <w:sz w:val="20"/>
          <w:szCs w:val="20"/>
        </w:rPr>
        <w:t xml:space="preserve">It is important to appreciate that the risk-based approach profiles each risk inherent to the product and not the risk of a product as whole. Thus, it does not provide a rigid system classifying different degrees of product risk, such as high- or low-risk products.  </w:t>
      </w:r>
    </w:p>
    <w:p w14:paraId="6C0341AA" w14:textId="6382E7ED" w:rsidR="00EB4F53" w:rsidRPr="007857CF" w:rsidRDefault="00EB4F53" w:rsidP="00EB4F53">
      <w:pPr>
        <w:jc w:val="both"/>
        <w:rPr>
          <w:rFonts w:ascii="Segoe UI" w:eastAsia="Calibri" w:hAnsi="Segoe UI" w:cs="Segoe UI"/>
          <w:sz w:val="20"/>
          <w:szCs w:val="20"/>
        </w:rPr>
      </w:pPr>
      <w:r w:rsidRPr="007857CF">
        <w:rPr>
          <w:rFonts w:ascii="Segoe UI" w:eastAsia="Calibri" w:hAnsi="Segoe UI" w:cs="Segoe UI"/>
          <w:sz w:val="20"/>
          <w:szCs w:val="20"/>
        </w:rPr>
        <w:t xml:space="preserve">This is in contrast to EUROGTP II. According to </w:t>
      </w:r>
      <w:r w:rsidR="003B1E95">
        <w:rPr>
          <w:rFonts w:ascii="Segoe UI" w:eastAsia="Calibri" w:hAnsi="Segoe UI" w:cs="Segoe UI"/>
          <w:sz w:val="20"/>
          <w:szCs w:val="20"/>
        </w:rPr>
        <w:t xml:space="preserve">the </w:t>
      </w:r>
      <w:r w:rsidRPr="007857CF">
        <w:rPr>
          <w:rFonts w:ascii="Segoe UI" w:eastAsia="Calibri" w:hAnsi="Segoe UI" w:cs="Segoe UI"/>
          <w:sz w:val="20"/>
          <w:szCs w:val="20"/>
        </w:rPr>
        <w:t>EUROGTP tool, first specific risks relating to the potential risk factors and risk consequences should be identified.</w:t>
      </w:r>
      <w:r w:rsidRPr="0074155D">
        <w:rPr>
          <w:rFonts w:ascii="Segoe UI" w:eastAsia="Calibri" w:hAnsi="Segoe UI" w:cs="Segoe UI"/>
          <w:sz w:val="20"/>
          <w:szCs w:val="20"/>
        </w:rPr>
        <w:t xml:space="preserve"> </w:t>
      </w:r>
      <w:r w:rsidRPr="007857CF">
        <w:rPr>
          <w:rFonts w:ascii="Segoe UI" w:eastAsia="Calibri" w:hAnsi="Segoe UI" w:cs="Segoe UI"/>
          <w:sz w:val="20"/>
          <w:szCs w:val="20"/>
        </w:rPr>
        <w:t xml:space="preserve">Each risk must be individually assessed to determine the residual risk of implementing the change. For </w:t>
      </w:r>
      <w:r w:rsidR="005F0F28" w:rsidRPr="007857CF">
        <w:rPr>
          <w:rFonts w:ascii="Segoe UI" w:eastAsia="Calibri" w:hAnsi="Segoe UI" w:cs="Segoe UI"/>
          <w:sz w:val="20"/>
          <w:szCs w:val="20"/>
        </w:rPr>
        <w:t>that,</w:t>
      </w:r>
      <w:r w:rsidRPr="007857CF">
        <w:rPr>
          <w:rFonts w:ascii="Segoe UI" w:eastAsia="Calibri" w:hAnsi="Segoe UI" w:cs="Segoe UI"/>
          <w:sz w:val="20"/>
          <w:szCs w:val="20"/>
        </w:rPr>
        <w:t xml:space="preserve"> </w:t>
      </w:r>
      <w:r w:rsidR="003B1E95">
        <w:rPr>
          <w:rFonts w:ascii="Segoe UI" w:eastAsia="Calibri" w:hAnsi="Segoe UI" w:cs="Segoe UI"/>
          <w:sz w:val="20"/>
          <w:szCs w:val="20"/>
        </w:rPr>
        <w:t xml:space="preserve">the following </w:t>
      </w:r>
      <w:r w:rsidRPr="007857CF">
        <w:rPr>
          <w:rFonts w:ascii="Segoe UI" w:eastAsia="Calibri" w:hAnsi="Segoe UI" w:cs="Segoe UI"/>
          <w:sz w:val="20"/>
          <w:szCs w:val="20"/>
        </w:rPr>
        <w:t>should be assessed:</w:t>
      </w:r>
    </w:p>
    <w:p w14:paraId="53FB0C9E" w14:textId="77777777" w:rsidR="00EB4F53" w:rsidRPr="007857CF" w:rsidRDefault="00EB4F53" w:rsidP="00EB4F53">
      <w:pPr>
        <w:numPr>
          <w:ilvl w:val="0"/>
          <w:numId w:val="25"/>
        </w:numPr>
        <w:spacing w:line="259" w:lineRule="auto"/>
        <w:contextualSpacing/>
        <w:jc w:val="both"/>
        <w:rPr>
          <w:rFonts w:ascii="Segoe UI" w:eastAsia="Calibri" w:hAnsi="Segoe UI" w:cs="Segoe UI"/>
          <w:sz w:val="20"/>
          <w:szCs w:val="20"/>
        </w:rPr>
      </w:pPr>
      <w:r w:rsidRPr="007857CF">
        <w:rPr>
          <w:rFonts w:ascii="Segoe UI" w:eastAsia="Calibri" w:hAnsi="Segoe UI" w:cs="Segoe UI"/>
          <w:sz w:val="20"/>
          <w:szCs w:val="20"/>
        </w:rPr>
        <w:t>The probability of the risk occurring.</w:t>
      </w:r>
    </w:p>
    <w:p w14:paraId="611FFEF6" w14:textId="77777777" w:rsidR="00EB4F53" w:rsidRPr="007857CF" w:rsidRDefault="00EB4F53" w:rsidP="00EB4F53">
      <w:pPr>
        <w:numPr>
          <w:ilvl w:val="0"/>
          <w:numId w:val="25"/>
        </w:numPr>
        <w:spacing w:line="259" w:lineRule="auto"/>
        <w:contextualSpacing/>
        <w:jc w:val="both"/>
        <w:rPr>
          <w:rFonts w:ascii="Segoe UI" w:eastAsia="Calibri" w:hAnsi="Segoe UI" w:cs="Segoe UI"/>
          <w:sz w:val="20"/>
          <w:szCs w:val="20"/>
        </w:rPr>
      </w:pPr>
      <w:r w:rsidRPr="007857CF">
        <w:rPr>
          <w:rFonts w:ascii="Segoe UI" w:eastAsia="Calibri" w:hAnsi="Segoe UI" w:cs="Segoe UI"/>
          <w:sz w:val="20"/>
          <w:szCs w:val="20"/>
        </w:rPr>
        <w:t>The severity of the consequences if the risk occurs.</w:t>
      </w:r>
    </w:p>
    <w:p w14:paraId="2384FCFC" w14:textId="77777777" w:rsidR="00EB4F53" w:rsidRPr="007857CF" w:rsidRDefault="00EB4F53" w:rsidP="00EB4F53">
      <w:pPr>
        <w:numPr>
          <w:ilvl w:val="0"/>
          <w:numId w:val="25"/>
        </w:numPr>
        <w:spacing w:line="259" w:lineRule="auto"/>
        <w:contextualSpacing/>
        <w:jc w:val="both"/>
        <w:rPr>
          <w:rFonts w:ascii="Segoe UI" w:eastAsia="Calibri" w:hAnsi="Segoe UI" w:cs="Segoe UI"/>
          <w:sz w:val="20"/>
          <w:szCs w:val="20"/>
        </w:rPr>
      </w:pPr>
      <w:r w:rsidRPr="007857CF">
        <w:rPr>
          <w:rFonts w:ascii="Segoe UI" w:eastAsia="Calibri" w:hAnsi="Segoe UI" w:cs="Segoe UI"/>
          <w:sz w:val="20"/>
          <w:szCs w:val="20"/>
        </w:rPr>
        <w:t>The probability that the source of the hazard for the risk consequences will be detected before the BTC is applied.</w:t>
      </w:r>
    </w:p>
    <w:p w14:paraId="3FEA0C50" w14:textId="1BCEC283" w:rsidR="00EB4F53" w:rsidRDefault="00EB4F53" w:rsidP="00EB4F53">
      <w:pPr>
        <w:numPr>
          <w:ilvl w:val="0"/>
          <w:numId w:val="25"/>
        </w:numPr>
        <w:spacing w:line="259" w:lineRule="auto"/>
        <w:contextualSpacing/>
        <w:jc w:val="both"/>
        <w:rPr>
          <w:rFonts w:ascii="Segoe UI" w:eastAsia="Calibri" w:hAnsi="Segoe UI" w:cs="Segoe UI"/>
          <w:sz w:val="20"/>
          <w:szCs w:val="20"/>
        </w:rPr>
      </w:pPr>
      <w:r w:rsidRPr="007857CF">
        <w:rPr>
          <w:rFonts w:ascii="Segoe UI" w:eastAsia="Calibri" w:hAnsi="Segoe UI" w:cs="Segoe UI"/>
          <w:sz w:val="20"/>
          <w:szCs w:val="20"/>
        </w:rPr>
        <w:t>Any existing evidence that can be used to mitigate the risk.</w:t>
      </w:r>
    </w:p>
    <w:p w14:paraId="6608C985" w14:textId="77777777" w:rsidR="003B1E95" w:rsidRPr="007857CF" w:rsidRDefault="003B1E95" w:rsidP="007857CF">
      <w:pPr>
        <w:spacing w:line="259" w:lineRule="auto"/>
        <w:ind w:left="720"/>
        <w:contextualSpacing/>
        <w:jc w:val="both"/>
        <w:rPr>
          <w:rFonts w:ascii="Segoe UI" w:eastAsia="Calibri" w:hAnsi="Segoe UI" w:cs="Segoe UI"/>
          <w:sz w:val="20"/>
          <w:szCs w:val="20"/>
        </w:rPr>
      </w:pPr>
    </w:p>
    <w:p w14:paraId="10E73ED1" w14:textId="62872820" w:rsidR="00EB4F53" w:rsidRPr="007857CF" w:rsidRDefault="00EB4F53" w:rsidP="00EB4F53">
      <w:pPr>
        <w:jc w:val="both"/>
        <w:rPr>
          <w:rFonts w:ascii="Segoe UI" w:eastAsia="Calibri" w:hAnsi="Segoe UI" w:cs="Segoe UI"/>
          <w:sz w:val="20"/>
          <w:szCs w:val="20"/>
        </w:rPr>
      </w:pPr>
      <w:r w:rsidRPr="007857CF">
        <w:rPr>
          <w:rFonts w:ascii="Segoe UI" w:eastAsia="Calibri" w:hAnsi="Segoe UI" w:cs="Segoe UI"/>
          <w:sz w:val="20"/>
          <w:szCs w:val="20"/>
        </w:rPr>
        <w:t xml:space="preserve">Although the risk assessment is individual for each risk factor, at the end, after using a tool there will be a single overall risk score, that goes from 0 to 100, and that is grouped in four categories: negligible, low, moderate and high. The Final Risk Score, obtained </w:t>
      </w:r>
      <w:r w:rsidR="005F0F28" w:rsidRPr="007857CF">
        <w:rPr>
          <w:rFonts w:ascii="Segoe UI" w:eastAsia="Calibri" w:hAnsi="Segoe UI" w:cs="Segoe UI"/>
          <w:sz w:val="20"/>
          <w:szCs w:val="20"/>
        </w:rPr>
        <w:t>because</w:t>
      </w:r>
      <w:r w:rsidRPr="007857CF">
        <w:rPr>
          <w:rFonts w:ascii="Segoe UI" w:eastAsia="Calibri" w:hAnsi="Segoe UI" w:cs="Segoe UI"/>
          <w:sz w:val="20"/>
          <w:szCs w:val="20"/>
        </w:rPr>
        <w:t xml:space="preserve"> of the EUROGP tool, can be used to define the type and exten</w:t>
      </w:r>
      <w:r w:rsidR="003B1E95">
        <w:rPr>
          <w:rFonts w:ascii="Segoe UI" w:eastAsia="Calibri" w:hAnsi="Segoe UI" w:cs="Segoe UI"/>
          <w:sz w:val="20"/>
          <w:szCs w:val="20"/>
        </w:rPr>
        <w:t>t</w:t>
      </w:r>
      <w:r w:rsidRPr="007857CF">
        <w:rPr>
          <w:rFonts w:ascii="Segoe UI" w:eastAsia="Calibri" w:hAnsi="Segoe UI" w:cs="Segoe UI"/>
          <w:sz w:val="20"/>
          <w:szCs w:val="20"/>
        </w:rPr>
        <w:t xml:space="preserve"> of pre-clinical and clinical evaluation.</w:t>
      </w:r>
    </w:p>
    <w:p w14:paraId="0714A02B" w14:textId="77777777" w:rsidR="00F76523" w:rsidRDefault="00F76523" w:rsidP="009E1008">
      <w:pPr>
        <w:jc w:val="both"/>
        <w:rPr>
          <w:rFonts w:ascii="Segoe UI" w:eastAsia="Calibri" w:hAnsi="Segoe UI" w:cs="Segoe UI"/>
          <w:b/>
          <w:sz w:val="20"/>
          <w:szCs w:val="20"/>
        </w:rPr>
      </w:pPr>
    </w:p>
    <w:p w14:paraId="3BAF633D" w14:textId="5B8B38F3" w:rsidR="003F01E7" w:rsidRPr="007857CF" w:rsidRDefault="00FD6EC4" w:rsidP="009E1008">
      <w:pPr>
        <w:jc w:val="both"/>
        <w:rPr>
          <w:rFonts w:ascii="Segoe UI" w:eastAsia="Calibri" w:hAnsi="Segoe UI" w:cs="Segoe UI"/>
          <w:b/>
          <w:sz w:val="20"/>
          <w:szCs w:val="20"/>
        </w:rPr>
      </w:pPr>
      <w:r w:rsidRPr="007857CF">
        <w:rPr>
          <w:rFonts w:ascii="Segoe UI" w:eastAsia="Calibri" w:hAnsi="Segoe UI" w:cs="Segoe UI"/>
          <w:b/>
          <w:sz w:val="20"/>
          <w:szCs w:val="20"/>
        </w:rPr>
        <w:t>Risk Assessment -</w:t>
      </w:r>
      <w:r w:rsidR="000A4EEF" w:rsidRPr="007857CF">
        <w:rPr>
          <w:rFonts w:ascii="Segoe UI" w:eastAsia="Calibri" w:hAnsi="Segoe UI" w:cs="Segoe UI"/>
          <w:b/>
          <w:sz w:val="20"/>
          <w:szCs w:val="20"/>
        </w:rPr>
        <w:t xml:space="preserve"> Outputs</w:t>
      </w:r>
      <w:r w:rsidR="00555AE4" w:rsidRPr="007857CF">
        <w:rPr>
          <w:rFonts w:ascii="Segoe UI" w:eastAsia="Calibri" w:hAnsi="Segoe UI" w:cs="Segoe UI"/>
          <w:b/>
          <w:sz w:val="20"/>
          <w:szCs w:val="20"/>
        </w:rPr>
        <w:t xml:space="preserve"> from </w:t>
      </w:r>
      <w:r w:rsidR="000A4EEF" w:rsidRPr="007857CF">
        <w:rPr>
          <w:rFonts w:ascii="Segoe UI" w:eastAsia="Calibri" w:hAnsi="Segoe UI" w:cs="Segoe UI"/>
          <w:b/>
          <w:sz w:val="20"/>
          <w:szCs w:val="20"/>
        </w:rPr>
        <w:t>P</w:t>
      </w:r>
      <w:r w:rsidR="00555AE4" w:rsidRPr="007857CF">
        <w:rPr>
          <w:rFonts w:ascii="Segoe UI" w:eastAsia="Calibri" w:hAnsi="Segoe UI" w:cs="Segoe UI"/>
          <w:b/>
          <w:sz w:val="20"/>
          <w:szCs w:val="20"/>
        </w:rPr>
        <w:t>revious European</w:t>
      </w:r>
      <w:r w:rsidR="000A4EEF" w:rsidRPr="007857CF">
        <w:rPr>
          <w:rFonts w:ascii="Segoe UI" w:eastAsia="Calibri" w:hAnsi="Segoe UI" w:cs="Segoe UI"/>
          <w:b/>
          <w:sz w:val="20"/>
          <w:szCs w:val="20"/>
        </w:rPr>
        <w:t xml:space="preserve"> P</w:t>
      </w:r>
      <w:r w:rsidR="00555AE4" w:rsidRPr="007857CF">
        <w:rPr>
          <w:rFonts w:ascii="Segoe UI" w:eastAsia="Calibri" w:hAnsi="Segoe UI" w:cs="Segoe UI"/>
          <w:b/>
          <w:sz w:val="20"/>
          <w:szCs w:val="20"/>
        </w:rPr>
        <w:t>rojects:</w:t>
      </w:r>
    </w:p>
    <w:p w14:paraId="43CA593D" w14:textId="725580AA" w:rsidR="003F01E7" w:rsidRPr="00BB4D81" w:rsidRDefault="003F01E7" w:rsidP="003F01E7">
      <w:pPr>
        <w:jc w:val="both"/>
        <w:rPr>
          <w:rFonts w:ascii="Segoe UI" w:eastAsia="Calibri" w:hAnsi="Segoe UI" w:cs="Segoe UI"/>
          <w:sz w:val="20"/>
          <w:szCs w:val="20"/>
        </w:rPr>
      </w:pPr>
      <w:r w:rsidRPr="00BB4D81">
        <w:rPr>
          <w:rFonts w:ascii="Segoe UI" w:eastAsia="Calibri" w:hAnsi="Segoe UI" w:cs="Segoe UI"/>
          <w:sz w:val="20"/>
          <w:szCs w:val="20"/>
        </w:rPr>
        <w:t xml:space="preserve">From existing VISTART WP5B guidance, a risk-based approach to evaluation of quality, safety, and effectiveness/efficacy of </w:t>
      </w:r>
      <w:r w:rsidR="001713EA">
        <w:rPr>
          <w:rFonts w:ascii="Segoe UI" w:eastAsia="Calibri" w:hAnsi="Segoe UI" w:cs="Segoe UI"/>
          <w:sz w:val="20"/>
          <w:szCs w:val="20"/>
        </w:rPr>
        <w:t>blood, tissue and cell (</w:t>
      </w:r>
      <w:r w:rsidRPr="00BB4D81">
        <w:rPr>
          <w:rFonts w:ascii="Segoe UI" w:eastAsia="Calibri" w:hAnsi="Segoe UI" w:cs="Segoe UI"/>
          <w:sz w:val="20"/>
          <w:szCs w:val="20"/>
        </w:rPr>
        <w:t>BTC</w:t>
      </w:r>
      <w:r w:rsidR="001713EA">
        <w:rPr>
          <w:rFonts w:ascii="Segoe UI" w:eastAsia="Calibri" w:hAnsi="Segoe UI" w:cs="Segoe UI"/>
          <w:sz w:val="20"/>
          <w:szCs w:val="20"/>
        </w:rPr>
        <w:t>)</w:t>
      </w:r>
      <w:r w:rsidRPr="00BB4D81">
        <w:rPr>
          <w:rFonts w:ascii="Segoe UI" w:eastAsia="Calibri" w:hAnsi="Segoe UI" w:cs="Segoe UI"/>
          <w:sz w:val="20"/>
          <w:szCs w:val="20"/>
        </w:rPr>
        <w:t xml:space="preserve"> products is clearly advocated. </w:t>
      </w:r>
      <w:r w:rsidR="00555AE4" w:rsidRPr="00BB4D81">
        <w:rPr>
          <w:rFonts w:ascii="Segoe UI" w:eastAsia="Calibri" w:hAnsi="Segoe UI" w:cs="Segoe UI"/>
          <w:sz w:val="20"/>
          <w:szCs w:val="20"/>
        </w:rPr>
        <w:t>Principle #1 generated from this work package</w:t>
      </w:r>
      <w:r w:rsidR="0076388C" w:rsidRPr="00BB4D81">
        <w:rPr>
          <w:rFonts w:ascii="Segoe UI" w:eastAsia="Calibri" w:hAnsi="Segoe UI" w:cs="Segoe UI"/>
          <w:sz w:val="20"/>
          <w:szCs w:val="20"/>
        </w:rPr>
        <w:t xml:space="preserve"> is an example of this:</w:t>
      </w:r>
    </w:p>
    <w:p w14:paraId="71E76BAB" w14:textId="77777777"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In line with existing legal provision, quality and safety of the BTC product has to be ensured by:</w:t>
      </w:r>
    </w:p>
    <w:p w14:paraId="561A7DD3" w14:textId="0D2A3C82" w:rsidR="009E1008" w:rsidRPr="00BB4D81" w:rsidRDefault="009E1008" w:rsidP="00A01F03">
      <w:pPr>
        <w:numPr>
          <w:ilvl w:val="1"/>
          <w:numId w:val="23"/>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assessment based on comprehensive data of </w:t>
      </w:r>
      <w:r w:rsidR="001713EA">
        <w:rPr>
          <w:rFonts w:ascii="Segoe UI" w:eastAsia="Calibri" w:hAnsi="Segoe UI" w:cs="Segoe UI"/>
          <w:sz w:val="20"/>
          <w:szCs w:val="20"/>
        </w:rPr>
        <w:t>blood tissue and cell preparation process (</w:t>
      </w:r>
      <w:r w:rsidRPr="00BB4D81">
        <w:rPr>
          <w:rFonts w:ascii="Segoe UI" w:eastAsia="Calibri" w:hAnsi="Segoe UI" w:cs="Segoe UI"/>
          <w:sz w:val="20"/>
          <w:szCs w:val="20"/>
        </w:rPr>
        <w:t>BTC-PP</w:t>
      </w:r>
      <w:r w:rsidR="001713EA">
        <w:rPr>
          <w:rFonts w:ascii="Segoe UI" w:eastAsia="Calibri" w:hAnsi="Segoe UI" w:cs="Segoe UI"/>
          <w:sz w:val="20"/>
          <w:szCs w:val="20"/>
        </w:rPr>
        <w:t>)</w:t>
      </w:r>
      <w:r w:rsidRPr="00BB4D81">
        <w:rPr>
          <w:rFonts w:ascii="Segoe UI" w:eastAsia="Calibri" w:hAnsi="Segoe UI" w:cs="Segoe UI"/>
          <w:sz w:val="20"/>
          <w:szCs w:val="20"/>
        </w:rPr>
        <w:t>/product authori</w:t>
      </w:r>
      <w:r w:rsidR="000420FB">
        <w:rPr>
          <w:rFonts w:ascii="Segoe UI" w:eastAsia="Calibri" w:hAnsi="Segoe UI" w:cs="Segoe UI"/>
          <w:sz w:val="20"/>
          <w:szCs w:val="20"/>
        </w:rPr>
        <w:t>s</w:t>
      </w:r>
      <w:r w:rsidRPr="00BB4D81">
        <w:rPr>
          <w:rFonts w:ascii="Segoe UI" w:eastAsia="Calibri" w:hAnsi="Segoe UI" w:cs="Segoe UI"/>
          <w:sz w:val="20"/>
          <w:szCs w:val="20"/>
        </w:rPr>
        <w:t>ation requests and</w:t>
      </w:r>
    </w:p>
    <w:p w14:paraId="5159E77C" w14:textId="2E93690B" w:rsidR="009E1008" w:rsidRPr="00BB4D81" w:rsidRDefault="009E1008" w:rsidP="00A01F03">
      <w:pPr>
        <w:numPr>
          <w:ilvl w:val="1"/>
          <w:numId w:val="23"/>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risk-based decision-making on app</w:t>
      </w:r>
      <w:r w:rsidR="00DA3A03">
        <w:rPr>
          <w:rFonts w:ascii="Segoe UI" w:eastAsia="Calibri" w:hAnsi="Segoe UI" w:cs="Segoe UI"/>
          <w:sz w:val="20"/>
          <w:szCs w:val="20"/>
        </w:rPr>
        <w:t>roval of BTC-PP/product authoris</w:t>
      </w:r>
      <w:r w:rsidRPr="00BB4D81">
        <w:rPr>
          <w:rFonts w:ascii="Segoe UI" w:eastAsia="Calibri" w:hAnsi="Segoe UI" w:cs="Segoe UI"/>
          <w:sz w:val="20"/>
          <w:szCs w:val="20"/>
        </w:rPr>
        <w:t xml:space="preserve">ation </w:t>
      </w:r>
    </w:p>
    <w:p w14:paraId="0112661A" w14:textId="77777777"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 xml:space="preserve">WB5B also indicates that risk-based decision-making by the CA involves an objective comparison of risks and benefits of the BTC product and that an approval will be granted once the benefit-risk-ratio as assessed on the evaluation of the submitted data-sets </w:t>
      </w:r>
      <w:r w:rsidRPr="00B06281">
        <w:rPr>
          <w:rFonts w:ascii="Segoe UI" w:eastAsia="Calibri" w:hAnsi="Segoe UI" w:cs="Segoe UI"/>
          <w:sz w:val="20"/>
          <w:szCs w:val="20"/>
        </w:rPr>
        <w:t>indicates that the benefit justifies the risk and we will look at this further when we come to the section on authorisation later on.</w:t>
      </w:r>
    </w:p>
    <w:p w14:paraId="39E3B60F" w14:textId="77777777"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 xml:space="preserve">It is further indicated that the risk-analyses performed by the BE/TE should take into account parameters that are specific to the production process and/or the product and clinical follow-up studies should contribute to the risk-analysis of the product. </w:t>
      </w:r>
    </w:p>
    <w:p w14:paraId="6FCC2348" w14:textId="4C273218"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 xml:space="preserve">With regard to the role of clinical data, WP5B acknowledges that while clinical data contribute to the risk-analysis of the product (focus on safety of the product) and </w:t>
      </w:r>
      <w:r w:rsidR="001713EA">
        <w:rPr>
          <w:rFonts w:ascii="Segoe UI" w:eastAsia="Calibri" w:hAnsi="Segoe UI" w:cs="Segoe UI"/>
          <w:sz w:val="20"/>
          <w:szCs w:val="20"/>
        </w:rPr>
        <w:t>that the clinical data</w:t>
      </w:r>
      <w:r w:rsidRPr="00BB4D81">
        <w:rPr>
          <w:rFonts w:ascii="Segoe UI" w:eastAsia="Calibri" w:hAnsi="Segoe UI" w:cs="Segoe UI"/>
          <w:sz w:val="20"/>
          <w:szCs w:val="20"/>
        </w:rPr>
        <w:t xml:space="preserve"> </w:t>
      </w:r>
      <w:r w:rsidR="001713EA">
        <w:rPr>
          <w:rFonts w:ascii="Segoe UI" w:eastAsia="Calibri" w:hAnsi="Segoe UI" w:cs="Segoe UI"/>
          <w:sz w:val="20"/>
          <w:szCs w:val="20"/>
        </w:rPr>
        <w:t>is</w:t>
      </w:r>
      <w:r w:rsidRPr="00BB4D81">
        <w:rPr>
          <w:rFonts w:ascii="Segoe UI" w:eastAsia="Calibri" w:hAnsi="Segoe UI" w:cs="Segoe UI"/>
          <w:sz w:val="20"/>
          <w:szCs w:val="20"/>
        </w:rPr>
        <w:t xml:space="preserve"> indispensable for the assessment of the benefit-risk-ratio of the product in the context of application to a patient (focus on efficacy of the product/therapy), such data do</w:t>
      </w:r>
      <w:r w:rsidR="001713EA">
        <w:rPr>
          <w:rFonts w:ascii="Segoe UI" w:eastAsia="Calibri" w:hAnsi="Segoe UI" w:cs="Segoe UI"/>
          <w:sz w:val="20"/>
          <w:szCs w:val="20"/>
        </w:rPr>
        <w:t>es</w:t>
      </w:r>
      <w:r w:rsidRPr="00BB4D81">
        <w:rPr>
          <w:rFonts w:ascii="Segoe UI" w:eastAsia="Calibri" w:hAnsi="Segoe UI" w:cs="Segoe UI"/>
          <w:sz w:val="20"/>
          <w:szCs w:val="20"/>
        </w:rPr>
        <w:t xml:space="preserve"> not contribute to the valid</w:t>
      </w:r>
      <w:r w:rsidR="001713EA">
        <w:rPr>
          <w:rFonts w:ascii="Segoe UI" w:eastAsia="Calibri" w:hAnsi="Segoe UI" w:cs="Segoe UI"/>
          <w:sz w:val="20"/>
          <w:szCs w:val="20"/>
        </w:rPr>
        <w:t xml:space="preserve">ation of the production process. The clinical data is </w:t>
      </w:r>
      <w:r w:rsidRPr="00BB4D81">
        <w:rPr>
          <w:rFonts w:ascii="Segoe UI" w:eastAsia="Calibri" w:hAnsi="Segoe UI" w:cs="Segoe UI"/>
          <w:sz w:val="20"/>
          <w:szCs w:val="20"/>
        </w:rPr>
        <w:t>not suitable to contribute to the risk-analy</w:t>
      </w:r>
      <w:r w:rsidR="001713EA">
        <w:rPr>
          <w:rFonts w:ascii="Segoe UI" w:eastAsia="Calibri" w:hAnsi="Segoe UI" w:cs="Segoe UI"/>
          <w:sz w:val="20"/>
          <w:szCs w:val="20"/>
        </w:rPr>
        <w:t>sis of the production process, and the</w:t>
      </w:r>
      <w:r w:rsidRPr="00BB4D81">
        <w:rPr>
          <w:rFonts w:ascii="Segoe UI" w:eastAsia="Calibri" w:hAnsi="Segoe UI" w:cs="Segoe UI"/>
          <w:sz w:val="20"/>
          <w:szCs w:val="20"/>
        </w:rPr>
        <w:t xml:space="preserve"> risk-analysis of the production process instead depends on clearly defined critical quality attributes. </w:t>
      </w:r>
    </w:p>
    <w:p w14:paraId="127AF362" w14:textId="77777777"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WP5B has therefore clearly established a very strong requirement for and reliance on risk assessment as part of the authorisation process.</w:t>
      </w:r>
    </w:p>
    <w:p w14:paraId="11D7C32E" w14:textId="77777777" w:rsidR="009E1008" w:rsidRPr="00BB4D81" w:rsidRDefault="009E1008" w:rsidP="009E1008">
      <w:pPr>
        <w:jc w:val="both"/>
        <w:rPr>
          <w:rFonts w:ascii="Segoe UI" w:eastAsia="Calibri" w:hAnsi="Segoe UI" w:cs="Segoe UI"/>
          <w:sz w:val="20"/>
          <w:szCs w:val="20"/>
        </w:rPr>
      </w:pPr>
    </w:p>
    <w:p w14:paraId="1D67879E" w14:textId="444AC1E1" w:rsidR="009E1008" w:rsidRPr="00865EBD" w:rsidRDefault="0093210F" w:rsidP="009E1008">
      <w:pPr>
        <w:jc w:val="both"/>
        <w:rPr>
          <w:rFonts w:ascii="Segoe UI" w:hAnsi="Segoe UI" w:cs="Segoe UI"/>
          <w:sz w:val="20"/>
          <w:szCs w:val="20"/>
        </w:rPr>
      </w:pPr>
      <w:r w:rsidRPr="00865EBD">
        <w:rPr>
          <w:rFonts w:ascii="Segoe UI" w:hAnsi="Segoe UI" w:cs="Segoe UI"/>
          <w:sz w:val="20"/>
          <w:szCs w:val="20"/>
        </w:rPr>
        <w:t>EUROG</w:t>
      </w:r>
      <w:r w:rsidR="009E1008" w:rsidRPr="00865EBD">
        <w:rPr>
          <w:rFonts w:ascii="Segoe UI" w:hAnsi="Segoe UI" w:cs="Segoe UI"/>
          <w:sz w:val="20"/>
          <w:szCs w:val="20"/>
        </w:rPr>
        <w:t>TP II</w:t>
      </w:r>
    </w:p>
    <w:p w14:paraId="27CA6BF3" w14:textId="49F4A559" w:rsidR="009E1008" w:rsidRPr="00BB4D81" w:rsidRDefault="009E1008" w:rsidP="009E1008">
      <w:pPr>
        <w:jc w:val="both"/>
        <w:rPr>
          <w:rFonts w:ascii="Segoe UI" w:hAnsi="Segoe UI" w:cs="Segoe UI"/>
          <w:sz w:val="20"/>
          <w:szCs w:val="20"/>
        </w:rPr>
      </w:pPr>
      <w:r w:rsidRPr="00BB4D81">
        <w:rPr>
          <w:rFonts w:ascii="Segoe UI" w:hAnsi="Segoe UI" w:cs="Segoe UI"/>
          <w:sz w:val="20"/>
          <w:szCs w:val="20"/>
        </w:rPr>
        <w:t>EuroGTP II had the aim to provide practical tools to assist Tissue Establishments</w:t>
      </w:r>
      <w:r w:rsidR="001C5DF8">
        <w:rPr>
          <w:rFonts w:ascii="Segoe UI" w:hAnsi="Segoe UI" w:cs="Segoe UI"/>
          <w:sz w:val="20"/>
          <w:szCs w:val="20"/>
        </w:rPr>
        <w:t xml:space="preserve"> (TEs)</w:t>
      </w:r>
      <w:r w:rsidRPr="00BB4D81">
        <w:rPr>
          <w:rFonts w:ascii="Segoe UI" w:hAnsi="Segoe UI" w:cs="Segoe UI"/>
          <w:sz w:val="20"/>
          <w:szCs w:val="20"/>
        </w:rPr>
        <w:t xml:space="preserve"> and Organisations Responsible for Human Application</w:t>
      </w:r>
      <w:r w:rsidR="001C5DF8">
        <w:rPr>
          <w:rFonts w:ascii="Segoe UI" w:hAnsi="Segoe UI" w:cs="Segoe UI"/>
          <w:sz w:val="20"/>
          <w:szCs w:val="20"/>
        </w:rPr>
        <w:t xml:space="preserve"> (ORHA)</w:t>
      </w:r>
      <w:r w:rsidRPr="00BB4D81">
        <w:rPr>
          <w:rFonts w:ascii="Segoe UI" w:hAnsi="Segoe UI" w:cs="Segoe UI"/>
          <w:sz w:val="20"/>
          <w:szCs w:val="20"/>
        </w:rPr>
        <w:t xml:space="preserve">, in the implementation of technical requirements defined for the assessment and verification of the quality, safety and efficacy of </w:t>
      </w:r>
      <w:r w:rsidR="001C5DF8">
        <w:rPr>
          <w:rFonts w:ascii="Segoe UI" w:hAnsi="Segoe UI" w:cs="Segoe UI"/>
          <w:sz w:val="20"/>
          <w:szCs w:val="20"/>
        </w:rPr>
        <w:t>BCT</w:t>
      </w:r>
      <w:r w:rsidRPr="00BB4D81">
        <w:rPr>
          <w:rFonts w:ascii="Segoe UI" w:hAnsi="Segoe UI" w:cs="Segoe UI"/>
          <w:sz w:val="20"/>
          <w:szCs w:val="20"/>
        </w:rPr>
        <w:t xml:space="preserve"> and in that regard to develop common Good Practices for European TE and ORHAs that address the studies extent (retrospective, concurrent, prospective and short and long term) needed for human application of the tissues/cells in a safe and effective manner:</w:t>
      </w:r>
    </w:p>
    <w:p w14:paraId="1B9C21EC" w14:textId="25072DD6" w:rsidR="009E1008" w:rsidRPr="00BB4D81" w:rsidRDefault="0093210F" w:rsidP="009E1008">
      <w:pPr>
        <w:jc w:val="both"/>
        <w:rPr>
          <w:rFonts w:ascii="Segoe UI" w:hAnsi="Segoe UI" w:cs="Segoe UI"/>
          <w:sz w:val="20"/>
          <w:szCs w:val="20"/>
        </w:rPr>
      </w:pPr>
      <w:r>
        <w:rPr>
          <w:rFonts w:ascii="Segoe UI" w:hAnsi="Segoe UI" w:cs="Segoe UI"/>
          <w:sz w:val="20"/>
          <w:szCs w:val="20"/>
        </w:rPr>
        <w:t>EURO</w:t>
      </w:r>
      <w:r w:rsidR="009E1008" w:rsidRPr="00BB4D81">
        <w:rPr>
          <w:rFonts w:ascii="Segoe UI" w:hAnsi="Segoe UI" w:cs="Segoe UI"/>
          <w:sz w:val="20"/>
          <w:szCs w:val="20"/>
        </w:rPr>
        <w:t>GTP II also had the intent that the tools would be developed in accordance with regulatory principles, legislation and good practices, and would be made available to National Competent Authorities (NCAs), hence facilitating the evaluation and the authorisation procedures.</w:t>
      </w:r>
    </w:p>
    <w:p w14:paraId="6ABEBC0F" w14:textId="77777777"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The objectives of the development of a systematic, risk-based mechanism and Interactive Assessment Tool are:</w:t>
      </w:r>
    </w:p>
    <w:p w14:paraId="324177B9" w14:textId="77777777" w:rsidR="009E1008" w:rsidRPr="00BB4D81" w:rsidRDefault="009E1008" w:rsidP="00A01F03">
      <w:pPr>
        <w:numPr>
          <w:ilvl w:val="0"/>
          <w:numId w:val="26"/>
        </w:numPr>
        <w:autoSpaceDE w:val="0"/>
        <w:autoSpaceDN w:val="0"/>
        <w:adjustRightInd w:val="0"/>
        <w:spacing w:after="152" w:line="240" w:lineRule="auto"/>
        <w:rPr>
          <w:rFonts w:ascii="Segoe UI" w:eastAsia="Calibri" w:hAnsi="Segoe UI" w:cs="Segoe UI"/>
          <w:sz w:val="20"/>
          <w:szCs w:val="20"/>
        </w:rPr>
      </w:pPr>
      <w:r w:rsidRPr="00BB4D81">
        <w:rPr>
          <w:rFonts w:ascii="Segoe UI" w:eastAsia="Calibri" w:hAnsi="Segoe UI" w:cs="Segoe UI"/>
          <w:sz w:val="20"/>
          <w:szCs w:val="20"/>
        </w:rPr>
        <w:t xml:space="preserve">Evaluate if a new or changed TCTP has significant novelty </w:t>
      </w:r>
    </w:p>
    <w:p w14:paraId="149AB9BE" w14:textId="77777777" w:rsidR="009E1008" w:rsidRPr="00BB4D81" w:rsidRDefault="009E1008" w:rsidP="00A01F03">
      <w:pPr>
        <w:numPr>
          <w:ilvl w:val="0"/>
          <w:numId w:val="26"/>
        </w:numPr>
        <w:autoSpaceDE w:val="0"/>
        <w:autoSpaceDN w:val="0"/>
        <w:adjustRightInd w:val="0"/>
        <w:spacing w:after="152" w:line="240" w:lineRule="auto"/>
        <w:rPr>
          <w:rFonts w:ascii="Segoe UI" w:eastAsia="Calibri" w:hAnsi="Segoe UI" w:cs="Segoe UI"/>
          <w:sz w:val="20"/>
          <w:szCs w:val="20"/>
        </w:rPr>
      </w:pPr>
      <w:r w:rsidRPr="00BB4D81">
        <w:rPr>
          <w:rFonts w:ascii="Segoe UI" w:eastAsia="Calibri" w:hAnsi="Segoe UI" w:cs="Segoe UI"/>
          <w:sz w:val="20"/>
          <w:szCs w:val="20"/>
        </w:rPr>
        <w:t xml:space="preserve">Determine the overall risk arising from the novelty </w:t>
      </w:r>
    </w:p>
    <w:p w14:paraId="0ED47715" w14:textId="77777777" w:rsidR="009E1008" w:rsidRPr="00BB4D81" w:rsidRDefault="009E1008" w:rsidP="00A01F03">
      <w:pPr>
        <w:numPr>
          <w:ilvl w:val="0"/>
          <w:numId w:val="26"/>
        </w:numPr>
        <w:autoSpaceDE w:val="0"/>
        <w:autoSpaceDN w:val="0"/>
        <w:adjustRightInd w:val="0"/>
        <w:spacing w:after="152" w:line="240" w:lineRule="auto"/>
        <w:rPr>
          <w:rFonts w:ascii="Segoe UI" w:eastAsia="Calibri" w:hAnsi="Segoe UI" w:cs="Segoe UI"/>
          <w:sz w:val="20"/>
          <w:szCs w:val="20"/>
        </w:rPr>
      </w:pPr>
      <w:r w:rsidRPr="00BB4D81">
        <w:rPr>
          <w:rFonts w:ascii="Segoe UI" w:eastAsia="Calibri" w:hAnsi="Segoe UI" w:cs="Segoe UI"/>
          <w:sz w:val="20"/>
          <w:szCs w:val="20"/>
        </w:rPr>
        <w:t xml:space="preserve">Determine an appropriate level of pre-clinical and clinical evaluations to address and assess the risk </w:t>
      </w:r>
    </w:p>
    <w:p w14:paraId="07E917EE" w14:textId="77777777" w:rsidR="009E1008" w:rsidRPr="00BB4D81" w:rsidRDefault="009E1008" w:rsidP="00A01F03">
      <w:pPr>
        <w:numPr>
          <w:ilvl w:val="0"/>
          <w:numId w:val="26"/>
        </w:numPr>
        <w:autoSpaceDE w:val="0"/>
        <w:autoSpaceDN w:val="0"/>
        <w:adjustRightInd w:val="0"/>
        <w:spacing w:after="152" w:line="240" w:lineRule="auto"/>
        <w:rPr>
          <w:rFonts w:ascii="Segoe UI" w:eastAsia="Calibri" w:hAnsi="Segoe UI" w:cs="Segoe UI"/>
          <w:sz w:val="20"/>
          <w:szCs w:val="20"/>
        </w:rPr>
      </w:pPr>
      <w:r w:rsidRPr="00BB4D81">
        <w:rPr>
          <w:rFonts w:ascii="Segoe UI" w:eastAsia="Calibri" w:hAnsi="Segoe UI" w:cs="Segoe UI"/>
          <w:sz w:val="20"/>
          <w:szCs w:val="20"/>
        </w:rPr>
        <w:t xml:space="preserve">Implement the result of risk assessment into routine practice and follow up the results </w:t>
      </w:r>
    </w:p>
    <w:p w14:paraId="6468B90D" w14:textId="77777777" w:rsidR="00F76523" w:rsidRDefault="00F76523" w:rsidP="009E1008">
      <w:pPr>
        <w:jc w:val="both"/>
        <w:rPr>
          <w:rFonts w:ascii="Segoe UI" w:eastAsia="Calibri" w:hAnsi="Segoe UI" w:cs="Segoe UI"/>
          <w:sz w:val="20"/>
          <w:szCs w:val="20"/>
        </w:rPr>
      </w:pPr>
    </w:p>
    <w:p w14:paraId="1ED95D80" w14:textId="4710A3CD"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sz w:val="20"/>
          <w:szCs w:val="20"/>
        </w:rPr>
        <w:t>The Methodology of Risk Assessment of EUROGTP II</w:t>
      </w:r>
    </w:p>
    <w:p w14:paraId="13E4B279" w14:textId="77777777"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i/>
          <w:iCs/>
          <w:sz w:val="20"/>
          <w:szCs w:val="20"/>
        </w:rPr>
        <w:t>1</w:t>
      </w:r>
      <w:r w:rsidRPr="00BB4D81">
        <w:rPr>
          <w:rFonts w:ascii="Segoe UI" w:eastAsia="Calibri" w:hAnsi="Segoe UI" w:cs="Segoe UI"/>
          <w:i/>
          <w:iCs/>
          <w:sz w:val="20"/>
          <w:szCs w:val="20"/>
          <w:vertAlign w:val="superscript"/>
        </w:rPr>
        <w:t xml:space="preserve">st </w:t>
      </w:r>
      <w:r w:rsidRPr="00BB4D81">
        <w:rPr>
          <w:rFonts w:ascii="Segoe UI" w:eastAsia="Calibri" w:hAnsi="Segoe UI" w:cs="Segoe UI"/>
          <w:i/>
          <w:iCs/>
          <w:sz w:val="20"/>
          <w:szCs w:val="20"/>
        </w:rPr>
        <w:t xml:space="preserve">step: Evaluation of Novelty. </w:t>
      </w:r>
    </w:p>
    <w:p w14:paraId="479F7D8F" w14:textId="77777777"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i/>
          <w:iCs/>
          <w:sz w:val="20"/>
          <w:szCs w:val="20"/>
        </w:rPr>
        <w:t>2</w:t>
      </w:r>
      <w:r w:rsidRPr="00BB4D81">
        <w:rPr>
          <w:rFonts w:ascii="Segoe UI" w:eastAsia="Calibri" w:hAnsi="Segoe UI" w:cs="Segoe UI"/>
          <w:i/>
          <w:iCs/>
          <w:sz w:val="20"/>
          <w:szCs w:val="20"/>
          <w:vertAlign w:val="superscript"/>
        </w:rPr>
        <w:t xml:space="preserve">nd </w:t>
      </w:r>
      <w:r w:rsidRPr="00BB4D81">
        <w:rPr>
          <w:rFonts w:ascii="Segoe UI" w:eastAsia="Calibri" w:hAnsi="Segoe UI" w:cs="Segoe UI"/>
          <w:i/>
          <w:iCs/>
          <w:sz w:val="20"/>
          <w:szCs w:val="20"/>
        </w:rPr>
        <w:t>step: Level risk analysis: identification and quantification of the risk.</w:t>
      </w:r>
    </w:p>
    <w:p w14:paraId="4CA0BA3B" w14:textId="77777777" w:rsidR="009E1008" w:rsidRPr="00BB4D81" w:rsidRDefault="009E1008" w:rsidP="009E1008">
      <w:pPr>
        <w:jc w:val="both"/>
        <w:rPr>
          <w:rFonts w:ascii="Segoe UI" w:eastAsia="Calibri" w:hAnsi="Segoe UI" w:cs="Segoe UI"/>
          <w:sz w:val="20"/>
          <w:szCs w:val="20"/>
        </w:rPr>
      </w:pPr>
      <w:r w:rsidRPr="00BB4D81">
        <w:rPr>
          <w:rFonts w:ascii="Segoe UI" w:eastAsia="Calibri" w:hAnsi="Segoe UI" w:cs="Segoe UI"/>
          <w:i/>
          <w:iCs/>
          <w:sz w:val="20"/>
          <w:szCs w:val="20"/>
        </w:rPr>
        <w:t>3</w:t>
      </w:r>
      <w:r w:rsidRPr="00BB4D81">
        <w:rPr>
          <w:rFonts w:ascii="Segoe UI" w:eastAsia="Calibri" w:hAnsi="Segoe UI" w:cs="Segoe UI"/>
          <w:i/>
          <w:iCs/>
          <w:sz w:val="20"/>
          <w:szCs w:val="20"/>
          <w:vertAlign w:val="superscript"/>
        </w:rPr>
        <w:t xml:space="preserve">rd </w:t>
      </w:r>
      <w:r w:rsidRPr="00BB4D81">
        <w:rPr>
          <w:rFonts w:ascii="Segoe UI" w:eastAsia="Calibri" w:hAnsi="Segoe UI" w:cs="Segoe UI"/>
          <w:i/>
          <w:iCs/>
          <w:sz w:val="20"/>
          <w:szCs w:val="20"/>
        </w:rPr>
        <w:t xml:space="preserve">step: Risk reduction strategies </w:t>
      </w:r>
    </w:p>
    <w:p w14:paraId="4D1536C2" w14:textId="77777777" w:rsidR="009E1008" w:rsidRPr="00BB4D81" w:rsidRDefault="009E1008" w:rsidP="009E1008">
      <w:pPr>
        <w:jc w:val="both"/>
        <w:rPr>
          <w:rFonts w:ascii="Segoe UI" w:eastAsia="Calibri" w:hAnsi="Segoe UI" w:cs="Segoe UI"/>
          <w:i/>
          <w:iCs/>
          <w:sz w:val="20"/>
          <w:szCs w:val="20"/>
        </w:rPr>
      </w:pPr>
      <w:r w:rsidRPr="00BB4D81">
        <w:rPr>
          <w:rFonts w:ascii="Segoe UI" w:eastAsia="Calibri" w:hAnsi="Segoe UI" w:cs="Segoe UI"/>
          <w:i/>
          <w:iCs/>
          <w:sz w:val="20"/>
          <w:szCs w:val="20"/>
        </w:rPr>
        <w:t>4</w:t>
      </w:r>
      <w:r w:rsidRPr="00BB4D81">
        <w:rPr>
          <w:rFonts w:ascii="Segoe UI" w:eastAsia="Calibri" w:hAnsi="Segoe UI" w:cs="Segoe UI"/>
          <w:i/>
          <w:iCs/>
          <w:sz w:val="20"/>
          <w:szCs w:val="20"/>
          <w:vertAlign w:val="superscript"/>
        </w:rPr>
        <w:t>th</w:t>
      </w:r>
      <w:r w:rsidRPr="00BB4D81">
        <w:rPr>
          <w:rFonts w:ascii="Segoe UI" w:eastAsia="Calibri" w:hAnsi="Segoe UI" w:cs="Segoe UI"/>
          <w:i/>
          <w:iCs/>
          <w:sz w:val="20"/>
          <w:szCs w:val="20"/>
        </w:rPr>
        <w:t>step: Definition minimum extent of clinical evaluation.</w:t>
      </w:r>
    </w:p>
    <w:p w14:paraId="084C56BA" w14:textId="77777777" w:rsidR="00D779D6" w:rsidRPr="00BB4D81" w:rsidRDefault="00D779D6" w:rsidP="009E1008">
      <w:pPr>
        <w:jc w:val="both"/>
        <w:rPr>
          <w:rFonts w:ascii="Segoe UI" w:eastAsia="Calibri" w:hAnsi="Segoe UI" w:cs="Segoe UI"/>
          <w:i/>
          <w:iCs/>
          <w:sz w:val="20"/>
          <w:szCs w:val="20"/>
        </w:rPr>
      </w:pPr>
    </w:p>
    <w:p w14:paraId="6594E639" w14:textId="77777777" w:rsidR="009E1008" w:rsidRPr="00BB4D81" w:rsidRDefault="009E1008" w:rsidP="009E1008">
      <w:pPr>
        <w:jc w:val="both"/>
        <w:rPr>
          <w:rFonts w:ascii="Segoe UI" w:eastAsia="Calibri" w:hAnsi="Segoe UI" w:cs="Segoe UI"/>
          <w:i/>
          <w:iCs/>
          <w:sz w:val="20"/>
          <w:szCs w:val="20"/>
        </w:rPr>
      </w:pPr>
      <w:r w:rsidRPr="00BB4D81">
        <w:rPr>
          <w:rFonts w:ascii="Segoe UI" w:eastAsia="Calibri" w:hAnsi="Segoe UI" w:cs="Segoe UI"/>
          <w:i/>
          <w:iCs/>
          <w:sz w:val="20"/>
          <w:szCs w:val="20"/>
        </w:rPr>
        <w:t>In relation to the guideline ‘Development of non-substantially manipulated cell-based ATMPs: flexibility introduced via the application of the risk-based approach’, the following key principles are included.</w:t>
      </w:r>
    </w:p>
    <w:p w14:paraId="1C50FF70" w14:textId="77777777" w:rsidR="009E1008" w:rsidRPr="00BB4D81" w:rsidRDefault="009E1008" w:rsidP="00A01F03">
      <w:pPr>
        <w:numPr>
          <w:ilvl w:val="0"/>
          <w:numId w:val="24"/>
        </w:numPr>
        <w:spacing w:line="259" w:lineRule="auto"/>
        <w:jc w:val="both"/>
        <w:rPr>
          <w:rFonts w:ascii="Segoe UI" w:eastAsia="Calibri" w:hAnsi="Segoe UI" w:cs="Segoe UI"/>
          <w:i/>
          <w:iCs/>
          <w:sz w:val="20"/>
          <w:szCs w:val="20"/>
        </w:rPr>
      </w:pPr>
      <w:r w:rsidRPr="00BB4D81">
        <w:rPr>
          <w:rFonts w:ascii="Segoe UI" w:eastAsia="Calibri" w:hAnsi="Segoe UI" w:cs="Segoe UI"/>
          <w:i/>
          <w:iCs/>
          <w:sz w:val="20"/>
          <w:szCs w:val="20"/>
        </w:rPr>
        <w:t xml:space="preserve">The level of effort and documentation should be commensurate with the level of risk of the specific product. </w:t>
      </w:r>
    </w:p>
    <w:p w14:paraId="2E6D9FE8" w14:textId="6CDD0EE3" w:rsidR="00EB4F53" w:rsidRPr="00EB4F53" w:rsidRDefault="009E1008" w:rsidP="00EB4F53">
      <w:pPr>
        <w:numPr>
          <w:ilvl w:val="0"/>
          <w:numId w:val="24"/>
        </w:numPr>
        <w:spacing w:line="259" w:lineRule="auto"/>
        <w:jc w:val="both"/>
        <w:rPr>
          <w:rFonts w:ascii="Segoe UI" w:eastAsia="Calibri" w:hAnsi="Segoe UI" w:cs="Segoe UI"/>
          <w:i/>
          <w:iCs/>
          <w:sz w:val="20"/>
          <w:szCs w:val="20"/>
        </w:rPr>
      </w:pPr>
      <w:r w:rsidRPr="00BB4D81">
        <w:rPr>
          <w:rFonts w:ascii="Segoe UI" w:eastAsia="Calibri" w:hAnsi="Segoe UI" w:cs="Segoe UI"/>
          <w:i/>
          <w:iCs/>
          <w:sz w:val="20"/>
          <w:szCs w:val="20"/>
        </w:rPr>
        <w:t xml:space="preserve">flexibilities might be justified based e.g. on prior experience with similar products, experience with the administration device(s) and/or published information. </w:t>
      </w:r>
    </w:p>
    <w:p w14:paraId="064C7AFF" w14:textId="77777777" w:rsidR="00EB4F53" w:rsidRDefault="00EB4F53" w:rsidP="009E1008">
      <w:pPr>
        <w:jc w:val="both"/>
        <w:rPr>
          <w:rFonts w:ascii="Segoe UI" w:eastAsia="Calibri" w:hAnsi="Segoe UI" w:cs="Segoe UI"/>
          <w:iCs/>
          <w:sz w:val="20"/>
          <w:szCs w:val="20"/>
          <w:highlight w:val="yellow"/>
        </w:rPr>
      </w:pPr>
    </w:p>
    <w:p w14:paraId="76D758A7" w14:textId="428FB08E" w:rsidR="00EB4F53" w:rsidRPr="00A87385" w:rsidRDefault="00EB4F53" w:rsidP="00EB4F53">
      <w:pPr>
        <w:jc w:val="both"/>
        <w:rPr>
          <w:rFonts w:ascii="Segoe UI" w:eastAsia="Calibri" w:hAnsi="Segoe UI" w:cs="Segoe UI"/>
          <w:sz w:val="20"/>
          <w:szCs w:val="20"/>
        </w:rPr>
      </w:pPr>
      <w:r w:rsidRPr="007857CF">
        <w:rPr>
          <w:rFonts w:ascii="Segoe UI" w:eastAsia="Calibri" w:hAnsi="Segoe UI" w:cs="Segoe UI"/>
          <w:sz w:val="20"/>
          <w:szCs w:val="20"/>
        </w:rPr>
        <w:t xml:space="preserve">The EUROGTP II tool; however, used to quantify risk takes into account the number of individual risks assessed when calculating the proportional risk value. The tool </w:t>
      </w:r>
      <w:r w:rsidRPr="007857CF">
        <w:rPr>
          <w:rFonts w:ascii="Segoe UI" w:eastAsia="Calibri" w:hAnsi="Segoe UI" w:cs="Segoe UI"/>
          <w:iCs/>
          <w:sz w:val="20"/>
          <w:szCs w:val="20"/>
        </w:rPr>
        <w:t xml:space="preserve">also provides measures to reduce the risk for the different assessed risk factors. </w:t>
      </w:r>
      <w:r w:rsidR="003B1E95" w:rsidRPr="007857CF">
        <w:rPr>
          <w:rFonts w:ascii="Segoe UI" w:eastAsia="Calibri" w:hAnsi="Segoe UI" w:cs="Segoe UI"/>
          <w:iCs/>
          <w:sz w:val="20"/>
          <w:szCs w:val="20"/>
        </w:rPr>
        <w:t>A</w:t>
      </w:r>
      <w:r w:rsidRPr="007857CF">
        <w:rPr>
          <w:rFonts w:ascii="Segoe UI" w:eastAsia="Calibri" w:hAnsi="Segoe UI" w:cs="Segoe UI"/>
          <w:iCs/>
          <w:sz w:val="20"/>
          <w:szCs w:val="20"/>
        </w:rPr>
        <w:t>t the end, according with the final risk score obtained, the tool will propose if risk reduction strategies and/or extent of clinical evaluation are needed.</w:t>
      </w:r>
    </w:p>
    <w:p w14:paraId="68863971" w14:textId="77777777" w:rsidR="00EB4F53" w:rsidRDefault="00EB4F53" w:rsidP="009E1008">
      <w:pPr>
        <w:jc w:val="both"/>
        <w:rPr>
          <w:rFonts w:ascii="Segoe UI" w:eastAsia="Calibri" w:hAnsi="Segoe UI" w:cs="Segoe UI"/>
          <w:iCs/>
          <w:sz w:val="20"/>
          <w:szCs w:val="20"/>
          <w:highlight w:val="yellow"/>
        </w:rPr>
      </w:pPr>
    </w:p>
    <w:p w14:paraId="4BECA4BB" w14:textId="38696EAC" w:rsidR="009E1008" w:rsidRPr="007857CF" w:rsidRDefault="00FD6EC4" w:rsidP="00332CCC">
      <w:pPr>
        <w:rPr>
          <w:b/>
          <w:lang w:eastAsia="en-US"/>
        </w:rPr>
      </w:pPr>
      <w:r w:rsidRPr="007857CF">
        <w:rPr>
          <w:b/>
          <w:lang w:eastAsia="en-US"/>
        </w:rPr>
        <w:t xml:space="preserve">Risk Assessment – Multi-Country Workshop </w:t>
      </w:r>
    </w:p>
    <w:p w14:paraId="42F1D1A5" w14:textId="25AC4A09" w:rsidR="0076304D" w:rsidRPr="00BB4D81" w:rsidRDefault="0076304D" w:rsidP="00FB0AAA">
      <w:pPr>
        <w:jc w:val="both"/>
        <w:rPr>
          <w:lang w:eastAsia="en-US"/>
        </w:rPr>
      </w:pPr>
      <w:r w:rsidRPr="00BB4D81">
        <w:rPr>
          <w:lang w:eastAsia="en-US"/>
        </w:rPr>
        <w:t xml:space="preserve">The survey results and an overview of the </w:t>
      </w:r>
      <w:r w:rsidR="005F0F28" w:rsidRPr="00BB4D81">
        <w:rPr>
          <w:lang w:eastAsia="en-US"/>
        </w:rPr>
        <w:t>desk-based</w:t>
      </w:r>
      <w:r w:rsidRPr="00BB4D81">
        <w:rPr>
          <w:lang w:eastAsia="en-US"/>
        </w:rPr>
        <w:t xml:space="preserve"> review on risk assessment as detailed above was provided at the multi-country workshops. Questions were posed to attendees for discussion ‘should risk assessment be the starting point of the authorisation process?’ and ‘should there be a stratified process determining the extent of information to be submitted in support for authorisation as it exists in other fields?’</w:t>
      </w:r>
    </w:p>
    <w:p w14:paraId="3FC794E6" w14:textId="40F552A5" w:rsidR="004612F8" w:rsidRPr="00BB4D81" w:rsidRDefault="0076304D" w:rsidP="00FB0AAA">
      <w:pPr>
        <w:jc w:val="both"/>
        <w:rPr>
          <w:lang w:eastAsia="en-US"/>
        </w:rPr>
      </w:pPr>
      <w:r w:rsidRPr="00BB4D81">
        <w:rPr>
          <w:lang w:eastAsia="en-US"/>
        </w:rPr>
        <w:t>A</w:t>
      </w:r>
      <w:r w:rsidR="004612F8" w:rsidRPr="00BB4D81">
        <w:rPr>
          <w:lang w:eastAsia="en-US"/>
        </w:rPr>
        <w:t xml:space="preserve"> general consensus was reached among attendees that the starting point of the PPA process should be with a risk assessment performed by the centre that applies for authorisation of the new product or process.</w:t>
      </w:r>
    </w:p>
    <w:p w14:paraId="1F9C63AA" w14:textId="4C67E5EE" w:rsidR="007C7E7B" w:rsidRDefault="007C7E7B" w:rsidP="00FB0AAA">
      <w:pPr>
        <w:jc w:val="both"/>
        <w:rPr>
          <w:lang w:eastAsia="en-US"/>
        </w:rPr>
      </w:pPr>
      <w:r w:rsidRPr="00BB4D81">
        <w:rPr>
          <w:lang w:eastAsia="en-US"/>
        </w:rPr>
        <w:t>The EUROGTPII risk assessment tool and the ANSM risk analysis were discussed and compared</w:t>
      </w:r>
      <w:r w:rsidR="005B51E4" w:rsidRPr="00BB4D81">
        <w:rPr>
          <w:lang w:eastAsia="en-US"/>
        </w:rPr>
        <w:t xml:space="preserve">. The </w:t>
      </w:r>
      <w:r w:rsidR="0076304D" w:rsidRPr="00BB4D81">
        <w:rPr>
          <w:lang w:eastAsia="en-US"/>
        </w:rPr>
        <w:t xml:space="preserve">first multi-country workshop focussed on whether tissues and cell CAs would be content with the use of the </w:t>
      </w:r>
      <w:r w:rsidR="005B51E4" w:rsidRPr="00BB4D81">
        <w:rPr>
          <w:lang w:eastAsia="en-US"/>
        </w:rPr>
        <w:t xml:space="preserve">EUROGTPII tool </w:t>
      </w:r>
      <w:r w:rsidR="0076304D" w:rsidRPr="00BB4D81">
        <w:rPr>
          <w:lang w:eastAsia="en-US"/>
        </w:rPr>
        <w:t>being used as the foundation</w:t>
      </w:r>
      <w:r w:rsidR="005B51E4" w:rsidRPr="00BB4D81">
        <w:rPr>
          <w:lang w:eastAsia="en-US"/>
        </w:rPr>
        <w:t xml:space="preserve"> </w:t>
      </w:r>
      <w:r w:rsidR="0076304D" w:rsidRPr="00BB4D81">
        <w:rPr>
          <w:lang w:eastAsia="en-US"/>
        </w:rPr>
        <w:t>for the guidelines, it was indicated that this was acceptable. The second multi-country workshop was attended by blood CAs, a proposal was put forward by WP5</w:t>
      </w:r>
      <w:r w:rsidR="00DC3550" w:rsidRPr="00BB4D81">
        <w:rPr>
          <w:lang w:eastAsia="en-US"/>
        </w:rPr>
        <w:t xml:space="preserve"> which incorporated both EUROGTPII and the ANSM risk tool </w:t>
      </w:r>
      <w:r w:rsidR="00C01303" w:rsidRPr="00BB4D81">
        <w:rPr>
          <w:lang w:eastAsia="en-US"/>
        </w:rPr>
        <w:t xml:space="preserve">(table </w:t>
      </w:r>
      <w:r w:rsidR="00EB4F53">
        <w:rPr>
          <w:lang w:eastAsia="en-US"/>
        </w:rPr>
        <w:t>7</w:t>
      </w:r>
      <w:r w:rsidR="00C01303" w:rsidRPr="00BB4D81">
        <w:rPr>
          <w:lang w:eastAsia="en-US"/>
        </w:rPr>
        <w:t xml:space="preserve">) </w:t>
      </w:r>
      <w:r w:rsidR="00DC3550" w:rsidRPr="00BB4D81">
        <w:rPr>
          <w:lang w:eastAsia="en-US"/>
        </w:rPr>
        <w:t xml:space="preserve">to ensure both tissues and cells and blood were addressed. It was indicated from the group that it would be more beneficial if EUROGTPII could be expanded to incorporate blood as well. It was agreed that this option would be discussed with </w:t>
      </w:r>
      <w:r w:rsidR="00D35F51" w:rsidRPr="00BB4D81">
        <w:rPr>
          <w:lang w:eastAsia="en-US"/>
        </w:rPr>
        <w:t xml:space="preserve">Barcelona Tissue Bank, who </w:t>
      </w:r>
      <w:r w:rsidR="003D0460">
        <w:rPr>
          <w:lang w:eastAsia="en-US"/>
        </w:rPr>
        <w:t>we</w:t>
      </w:r>
      <w:r w:rsidR="00D35F51" w:rsidRPr="00BB4D81">
        <w:rPr>
          <w:lang w:eastAsia="en-US"/>
        </w:rPr>
        <w:t xml:space="preserve">re </w:t>
      </w:r>
      <w:r w:rsidR="00DC3550" w:rsidRPr="00BB4D81">
        <w:rPr>
          <w:lang w:eastAsia="en-US"/>
        </w:rPr>
        <w:t>the developers of the EUROGTPII guidance to see if this was possible.</w:t>
      </w:r>
    </w:p>
    <w:p w14:paraId="2B64753F" w14:textId="47F2CB93" w:rsidR="0028120F" w:rsidRDefault="0028120F">
      <w:pPr>
        <w:rPr>
          <w:lang w:eastAsia="en-US"/>
        </w:rPr>
      </w:pPr>
      <w:r>
        <w:rPr>
          <w:lang w:eastAsia="en-US"/>
        </w:rPr>
        <w:br w:type="page"/>
      </w:r>
    </w:p>
    <w:p w14:paraId="4878B080" w14:textId="77777777" w:rsidR="0028120F" w:rsidRDefault="0028120F" w:rsidP="00FB0AAA">
      <w:pPr>
        <w:jc w:val="both"/>
        <w:rPr>
          <w:lang w:eastAsia="en-US"/>
        </w:rPr>
      </w:pPr>
    </w:p>
    <w:tbl>
      <w:tblPr>
        <w:tblStyle w:val="TableGrid"/>
        <w:tblW w:w="9889" w:type="dxa"/>
        <w:tblLook w:val="04A0" w:firstRow="1" w:lastRow="0" w:firstColumn="1" w:lastColumn="0" w:noHBand="0" w:noVBand="1"/>
      </w:tblPr>
      <w:tblGrid>
        <w:gridCol w:w="1668"/>
        <w:gridCol w:w="3082"/>
        <w:gridCol w:w="1454"/>
        <w:gridCol w:w="3685"/>
      </w:tblGrid>
      <w:tr w:rsidR="0028120F" w14:paraId="1DCAA36B" w14:textId="77777777" w:rsidTr="00FA466F">
        <w:tc>
          <w:tcPr>
            <w:tcW w:w="1668" w:type="dxa"/>
            <w:vAlign w:val="center"/>
          </w:tcPr>
          <w:p w14:paraId="025C1798" w14:textId="4FE02357" w:rsidR="0028120F" w:rsidRPr="007857CF" w:rsidRDefault="0028120F" w:rsidP="0028120F">
            <w:pPr>
              <w:rPr>
                <w:lang w:eastAsia="en-US"/>
              </w:rPr>
            </w:pPr>
            <w:r w:rsidRPr="007857CF">
              <w:rPr>
                <w:b/>
                <w:lang w:eastAsia="en-US"/>
              </w:rPr>
              <w:t>ANSM (blood)</w:t>
            </w:r>
          </w:p>
        </w:tc>
        <w:tc>
          <w:tcPr>
            <w:tcW w:w="3082" w:type="dxa"/>
            <w:vAlign w:val="center"/>
          </w:tcPr>
          <w:p w14:paraId="2201D6D2" w14:textId="41804547" w:rsidR="0028120F" w:rsidRPr="007857CF" w:rsidRDefault="0028120F" w:rsidP="0028120F">
            <w:pPr>
              <w:rPr>
                <w:b/>
                <w:lang w:eastAsia="en-US"/>
              </w:rPr>
            </w:pPr>
            <w:r w:rsidRPr="007857CF">
              <w:rPr>
                <w:b/>
                <w:lang w:val="en-US" w:eastAsia="en-US"/>
              </w:rPr>
              <w:t>ANSM blood risk analysis</w:t>
            </w:r>
          </w:p>
        </w:tc>
        <w:tc>
          <w:tcPr>
            <w:tcW w:w="1454" w:type="dxa"/>
            <w:vAlign w:val="center"/>
          </w:tcPr>
          <w:p w14:paraId="3B9AFD66" w14:textId="45F0366B" w:rsidR="0028120F" w:rsidRPr="007857CF" w:rsidRDefault="0028120F" w:rsidP="0028120F">
            <w:pPr>
              <w:rPr>
                <w:b/>
                <w:lang w:eastAsia="en-US"/>
              </w:rPr>
            </w:pPr>
            <w:r w:rsidRPr="007857CF">
              <w:rPr>
                <w:b/>
                <w:lang w:eastAsia="en-US"/>
              </w:rPr>
              <w:t>EUROGTP  (tissues and cells)</w:t>
            </w:r>
          </w:p>
        </w:tc>
        <w:tc>
          <w:tcPr>
            <w:tcW w:w="3685" w:type="dxa"/>
            <w:vAlign w:val="center"/>
          </w:tcPr>
          <w:p w14:paraId="43F80AFF" w14:textId="59180021" w:rsidR="0028120F" w:rsidRPr="007857CF" w:rsidRDefault="0028120F" w:rsidP="0028120F">
            <w:pPr>
              <w:rPr>
                <w:b/>
                <w:lang w:eastAsia="en-US"/>
              </w:rPr>
            </w:pPr>
            <w:r w:rsidRPr="007857CF">
              <w:rPr>
                <w:b/>
                <w:lang w:eastAsia="en-US"/>
              </w:rPr>
              <w:t>EUROGTP II</w:t>
            </w:r>
          </w:p>
        </w:tc>
      </w:tr>
      <w:tr w:rsidR="00B41CA1" w14:paraId="4128B80E" w14:textId="77777777" w:rsidTr="00FA466F">
        <w:tc>
          <w:tcPr>
            <w:tcW w:w="1668" w:type="dxa"/>
            <w:vAlign w:val="center"/>
          </w:tcPr>
          <w:p w14:paraId="01EBFDFE" w14:textId="2BCD313D" w:rsidR="00B41CA1" w:rsidRPr="007857CF" w:rsidRDefault="00B41CA1" w:rsidP="0028120F">
            <w:pPr>
              <w:jc w:val="center"/>
              <w:rPr>
                <w:lang w:eastAsia="en-US"/>
              </w:rPr>
            </w:pPr>
            <w:r w:rsidRPr="007857CF">
              <w:rPr>
                <w:lang w:eastAsia="en-US"/>
              </w:rPr>
              <w:t>Category A</w:t>
            </w:r>
          </w:p>
        </w:tc>
        <w:tc>
          <w:tcPr>
            <w:tcW w:w="3082" w:type="dxa"/>
          </w:tcPr>
          <w:p w14:paraId="557B9CA3" w14:textId="631F0607" w:rsidR="00B41CA1" w:rsidRPr="007857CF" w:rsidRDefault="00B41CA1" w:rsidP="00B41CA1">
            <w:pPr>
              <w:tabs>
                <w:tab w:val="num" w:pos="720"/>
              </w:tabs>
              <w:jc w:val="both"/>
              <w:rPr>
                <w:lang w:val="ca-ES" w:eastAsia="en-US"/>
              </w:rPr>
            </w:pPr>
            <w:r w:rsidRPr="007857CF">
              <w:rPr>
                <w:lang w:eastAsia="en-US"/>
              </w:rPr>
              <w:t>This category is for records related to a new blood product (NBP) not on the BP list. This category of file concerns new methods of sampling, preparation and storage, including when the process has an impact on the quality of the NBP before their distribution or delivery</w:t>
            </w:r>
          </w:p>
        </w:tc>
        <w:tc>
          <w:tcPr>
            <w:tcW w:w="1454" w:type="dxa"/>
            <w:vAlign w:val="center"/>
          </w:tcPr>
          <w:p w14:paraId="02350F3C" w14:textId="6D867426" w:rsidR="00B41CA1" w:rsidRPr="007857CF" w:rsidRDefault="00B41CA1" w:rsidP="0028120F">
            <w:pPr>
              <w:jc w:val="center"/>
              <w:rPr>
                <w:lang w:eastAsia="en-US"/>
              </w:rPr>
            </w:pPr>
            <w:r w:rsidRPr="007857CF">
              <w:rPr>
                <w:lang w:eastAsia="en-US"/>
              </w:rPr>
              <w:t>High (red)</w:t>
            </w:r>
          </w:p>
        </w:tc>
        <w:tc>
          <w:tcPr>
            <w:tcW w:w="3685" w:type="dxa"/>
          </w:tcPr>
          <w:p w14:paraId="5A22CA04" w14:textId="77777777" w:rsidR="00B41CA1" w:rsidRPr="007857CF" w:rsidRDefault="00B41CA1" w:rsidP="00B41CA1">
            <w:pPr>
              <w:tabs>
                <w:tab w:val="num" w:pos="720"/>
              </w:tabs>
              <w:jc w:val="both"/>
              <w:rPr>
                <w:lang w:eastAsia="en-US"/>
              </w:rPr>
            </w:pPr>
            <w:r w:rsidRPr="007857CF">
              <w:rPr>
                <w:lang w:eastAsia="en-US"/>
              </w:rPr>
              <w:t xml:space="preserve">The assessment indicates that significantly more evidence is needed to support safe and effective use of this BTC and mitigate risk. </w:t>
            </w:r>
          </w:p>
          <w:p w14:paraId="03ACF12B" w14:textId="77777777" w:rsidR="00B41CA1" w:rsidRPr="007857CF" w:rsidRDefault="00B41CA1" w:rsidP="00B41CA1">
            <w:pPr>
              <w:tabs>
                <w:tab w:val="num" w:pos="720"/>
              </w:tabs>
              <w:jc w:val="both"/>
              <w:rPr>
                <w:lang w:eastAsia="en-US"/>
              </w:rPr>
            </w:pPr>
            <w:r w:rsidRPr="007857CF">
              <w:rPr>
                <w:lang w:eastAsia="en-US"/>
              </w:rPr>
              <w:t xml:space="preserve">Process validation should be performed, however if the nature of the risk is not related to the process itself, the requirement for validation may not apply, for example where the novelty is in the method of clinical application. </w:t>
            </w:r>
          </w:p>
          <w:p w14:paraId="66B4EAF2" w14:textId="42DF9EB2" w:rsidR="00FA466F" w:rsidRPr="007857CF" w:rsidRDefault="00FA466F" w:rsidP="00B41CA1">
            <w:pPr>
              <w:tabs>
                <w:tab w:val="num" w:pos="720"/>
              </w:tabs>
              <w:jc w:val="both"/>
              <w:rPr>
                <w:lang w:eastAsia="en-US"/>
              </w:rPr>
            </w:pPr>
            <w:r w:rsidRPr="007857CF">
              <w:rPr>
                <w:lang w:eastAsia="en-US"/>
              </w:rPr>
              <w:t>Pre-clinical in vitro evaluation, specific to the identified risks, should be performed if not already done.</w:t>
            </w:r>
          </w:p>
          <w:p w14:paraId="45A63CAD" w14:textId="2C5E90A4" w:rsidR="00FA466F" w:rsidRPr="007857CF" w:rsidRDefault="00FA466F" w:rsidP="00B41CA1">
            <w:pPr>
              <w:tabs>
                <w:tab w:val="num" w:pos="720"/>
              </w:tabs>
              <w:jc w:val="both"/>
              <w:rPr>
                <w:lang w:eastAsia="en-US"/>
              </w:rPr>
            </w:pPr>
            <w:r w:rsidRPr="007857CF">
              <w:rPr>
                <w:lang w:eastAsia="en-US"/>
              </w:rPr>
              <w:t>Pre-clinical in vivo evaluation, specific to the identified risks, using an animal model should be done if applicable (and if not already completed)</w:t>
            </w:r>
          </w:p>
          <w:p w14:paraId="48961822" w14:textId="77777777" w:rsidR="00B41CA1" w:rsidRPr="007857CF" w:rsidRDefault="00B41CA1" w:rsidP="00FB0AAA">
            <w:pPr>
              <w:jc w:val="both"/>
              <w:rPr>
                <w:lang w:val="en-US" w:eastAsia="en-US"/>
              </w:rPr>
            </w:pPr>
          </w:p>
        </w:tc>
      </w:tr>
      <w:tr w:rsidR="00565A7D" w14:paraId="70142057" w14:textId="77777777" w:rsidTr="00FA466F">
        <w:tc>
          <w:tcPr>
            <w:tcW w:w="1668" w:type="dxa"/>
            <w:vAlign w:val="center"/>
          </w:tcPr>
          <w:p w14:paraId="5229CA8D" w14:textId="15728EDE" w:rsidR="00565A7D" w:rsidRPr="007857CF" w:rsidRDefault="00565A7D" w:rsidP="0028120F">
            <w:pPr>
              <w:jc w:val="center"/>
              <w:rPr>
                <w:lang w:eastAsia="en-US"/>
              </w:rPr>
            </w:pPr>
            <w:r w:rsidRPr="007857CF">
              <w:rPr>
                <w:lang w:eastAsia="en-US"/>
              </w:rPr>
              <w:t>Category B</w:t>
            </w:r>
          </w:p>
        </w:tc>
        <w:tc>
          <w:tcPr>
            <w:tcW w:w="3082" w:type="dxa"/>
          </w:tcPr>
          <w:p w14:paraId="767693DB" w14:textId="77777777" w:rsidR="00565A7D" w:rsidRPr="007857CF" w:rsidRDefault="00565A7D" w:rsidP="00B41CA1">
            <w:pPr>
              <w:jc w:val="both"/>
              <w:rPr>
                <w:lang w:eastAsia="en-US"/>
              </w:rPr>
            </w:pPr>
            <w:r w:rsidRPr="007857CF">
              <w:rPr>
                <w:lang w:eastAsia="en-US"/>
              </w:rPr>
              <w:t>This category concerns files relating to a BP already registered on the list of BP and obtained, either by "major" modification of the sampling, preparation and preservation process, including when the process has an impact on the quality of the BP before their distribution or delivery, either by modification of the medical device, either by changing the conditions of use of the BP.</w:t>
            </w:r>
          </w:p>
          <w:p w14:paraId="284C586B" w14:textId="77777777" w:rsidR="00565A7D" w:rsidRPr="007857CF" w:rsidRDefault="00565A7D" w:rsidP="00FB0AAA">
            <w:pPr>
              <w:jc w:val="both"/>
              <w:rPr>
                <w:lang w:val="ca-ES" w:eastAsia="en-US"/>
              </w:rPr>
            </w:pPr>
          </w:p>
        </w:tc>
        <w:tc>
          <w:tcPr>
            <w:tcW w:w="1454" w:type="dxa"/>
            <w:vAlign w:val="center"/>
          </w:tcPr>
          <w:p w14:paraId="13E8C881" w14:textId="3CC8B259" w:rsidR="00565A7D" w:rsidRPr="007857CF" w:rsidRDefault="00565A7D" w:rsidP="004C44AC">
            <w:pPr>
              <w:jc w:val="center"/>
              <w:rPr>
                <w:lang w:eastAsia="en-US"/>
              </w:rPr>
            </w:pPr>
            <w:r w:rsidRPr="007857CF">
              <w:rPr>
                <w:lang w:eastAsia="en-US"/>
              </w:rPr>
              <w:t>Moderate (Orange)</w:t>
            </w:r>
          </w:p>
        </w:tc>
        <w:tc>
          <w:tcPr>
            <w:tcW w:w="3685" w:type="dxa"/>
          </w:tcPr>
          <w:p w14:paraId="504256AA" w14:textId="0C26FC6F" w:rsidR="00565A7D" w:rsidRPr="007857CF" w:rsidRDefault="00565A7D" w:rsidP="00736CDA">
            <w:pPr>
              <w:jc w:val="both"/>
              <w:rPr>
                <w:lang w:eastAsia="en-US"/>
              </w:rPr>
            </w:pPr>
            <w:r w:rsidRPr="007857CF">
              <w:rPr>
                <w:lang w:eastAsia="en-US"/>
              </w:rPr>
              <w:t xml:space="preserve">The assessment indicates that more evidence is needed to support safe and effective use of this BTC and mitigate risk.  </w:t>
            </w:r>
          </w:p>
          <w:p w14:paraId="1C038ED4" w14:textId="77777777" w:rsidR="00565A7D" w:rsidRPr="007857CF" w:rsidRDefault="00565A7D" w:rsidP="00736CDA">
            <w:pPr>
              <w:jc w:val="both"/>
              <w:rPr>
                <w:lang w:eastAsia="en-US"/>
              </w:rPr>
            </w:pPr>
            <w:r w:rsidRPr="007857CF">
              <w:rPr>
                <w:lang w:eastAsia="en-US"/>
              </w:rPr>
              <w:t xml:space="preserve">Process validation should be performed, however if the nature of the risk is not related to the process itself, the requirement for validation may not apply, for example where the novelty is in the method of clinical application. </w:t>
            </w:r>
          </w:p>
          <w:p w14:paraId="4F8B110A" w14:textId="77777777" w:rsidR="00565A7D" w:rsidRPr="007857CF" w:rsidRDefault="00565A7D" w:rsidP="00736CDA">
            <w:pPr>
              <w:jc w:val="both"/>
              <w:rPr>
                <w:lang w:eastAsia="en-US"/>
              </w:rPr>
            </w:pPr>
            <w:r w:rsidRPr="007857CF">
              <w:rPr>
                <w:lang w:eastAsia="en-US"/>
              </w:rPr>
              <w:t>Pre-clinical in vitro evaluation, specific to the identified risks, should be performed if not already done.</w:t>
            </w:r>
          </w:p>
          <w:p w14:paraId="6460C937" w14:textId="2519850D" w:rsidR="00565A7D" w:rsidRPr="007857CF" w:rsidRDefault="00565A7D" w:rsidP="00736CDA">
            <w:pPr>
              <w:jc w:val="both"/>
              <w:rPr>
                <w:lang w:val="en-US" w:eastAsia="en-US"/>
              </w:rPr>
            </w:pPr>
            <w:r w:rsidRPr="007857CF">
              <w:rPr>
                <w:lang w:eastAsia="en-US"/>
              </w:rPr>
              <w:t>Pre-clinical in vivo evaluation, specific to the identified risks, using an animal model should be done if applicable (and if not already completed).</w:t>
            </w:r>
          </w:p>
        </w:tc>
      </w:tr>
      <w:tr w:rsidR="00565A7D" w14:paraId="1BF3744D" w14:textId="77777777" w:rsidTr="00FA466F">
        <w:tc>
          <w:tcPr>
            <w:tcW w:w="1668" w:type="dxa"/>
            <w:vAlign w:val="center"/>
          </w:tcPr>
          <w:p w14:paraId="4F298FE2" w14:textId="2161F492" w:rsidR="00565A7D" w:rsidRPr="007857CF" w:rsidRDefault="00565A7D" w:rsidP="0028120F">
            <w:pPr>
              <w:jc w:val="center"/>
              <w:rPr>
                <w:lang w:eastAsia="en-US"/>
              </w:rPr>
            </w:pPr>
            <w:r w:rsidRPr="007857CF">
              <w:rPr>
                <w:lang w:eastAsia="en-US"/>
              </w:rPr>
              <w:t>Category C</w:t>
            </w:r>
          </w:p>
        </w:tc>
        <w:tc>
          <w:tcPr>
            <w:tcW w:w="3082" w:type="dxa"/>
          </w:tcPr>
          <w:p w14:paraId="599E33A7" w14:textId="4B1837F9" w:rsidR="00D65D37" w:rsidRPr="007857CF" w:rsidRDefault="001A1CBA" w:rsidP="00736CDA">
            <w:pPr>
              <w:jc w:val="both"/>
              <w:rPr>
                <w:lang w:eastAsia="en-US"/>
              </w:rPr>
            </w:pPr>
            <w:r w:rsidRPr="007857CF">
              <w:rPr>
                <w:lang w:eastAsia="en-US"/>
              </w:rPr>
              <w:t xml:space="preserve">This category concerns the files relating to a BP registered on the list of BP and obtained by modification known as "Non-major" requiring verification of the quality of the BP, </w:t>
            </w:r>
            <w:r w:rsidR="005F0F28" w:rsidRPr="007857CF">
              <w:rPr>
                <w:lang w:eastAsia="en-US"/>
              </w:rPr>
              <w:t>i.e.</w:t>
            </w:r>
            <w:r w:rsidRPr="007857CF">
              <w:rPr>
                <w:lang w:eastAsia="en-US"/>
              </w:rPr>
              <w:t>, a step in the process of sampling, preparation, preservation, including when the process has an impact on the quality of BP prior to distribution or delivery, either by modification of an element of the medical device or conditions of use of the device.</w:t>
            </w:r>
          </w:p>
          <w:p w14:paraId="0881A8B2" w14:textId="77777777" w:rsidR="00565A7D" w:rsidRPr="007857CF" w:rsidRDefault="00565A7D" w:rsidP="00B41CA1">
            <w:pPr>
              <w:tabs>
                <w:tab w:val="num" w:pos="720"/>
              </w:tabs>
              <w:jc w:val="both"/>
              <w:rPr>
                <w:lang w:val="ca-ES" w:eastAsia="en-US"/>
              </w:rPr>
            </w:pPr>
          </w:p>
        </w:tc>
        <w:tc>
          <w:tcPr>
            <w:tcW w:w="1454" w:type="dxa"/>
            <w:vAlign w:val="center"/>
          </w:tcPr>
          <w:p w14:paraId="7131751A" w14:textId="3CD55C74" w:rsidR="00565A7D" w:rsidRPr="007857CF" w:rsidRDefault="00565A7D" w:rsidP="00565A7D">
            <w:pPr>
              <w:rPr>
                <w:lang w:eastAsia="en-US"/>
              </w:rPr>
            </w:pPr>
            <w:r w:rsidRPr="007857CF">
              <w:rPr>
                <w:lang w:eastAsia="en-US"/>
              </w:rPr>
              <w:t>Low (Yellow)</w:t>
            </w:r>
          </w:p>
        </w:tc>
        <w:tc>
          <w:tcPr>
            <w:tcW w:w="3685" w:type="dxa"/>
          </w:tcPr>
          <w:p w14:paraId="11664861" w14:textId="42F79168" w:rsidR="00565A7D" w:rsidRPr="007857CF" w:rsidRDefault="00187A26" w:rsidP="00187A26">
            <w:pPr>
              <w:jc w:val="both"/>
              <w:rPr>
                <w:lang w:val="en-US" w:eastAsia="en-US"/>
              </w:rPr>
            </w:pPr>
            <w:r w:rsidRPr="007857CF">
              <w:rPr>
                <w:lang w:eastAsia="en-US"/>
              </w:rPr>
              <w:t xml:space="preserve">The TC is safe and efficacious for clinical use and unlikely to cause harm to recipients. A validation of the process if not already done, should be performed. If the nature of the risk is not related to the process itself, the requirement for validation may not apply, for </w:t>
            </w:r>
            <w:r w:rsidR="005F0F28" w:rsidRPr="007857CF">
              <w:rPr>
                <w:lang w:eastAsia="en-US"/>
              </w:rPr>
              <w:t>example,</w:t>
            </w:r>
            <w:r w:rsidRPr="007857CF">
              <w:rPr>
                <w:lang w:eastAsia="en-US"/>
              </w:rPr>
              <w:t xml:space="preserve"> where the novelty is in the method of clinical application.</w:t>
            </w:r>
          </w:p>
        </w:tc>
      </w:tr>
      <w:tr w:rsidR="00565A7D" w14:paraId="3A1EF2F7" w14:textId="77777777" w:rsidTr="00FA466F">
        <w:tc>
          <w:tcPr>
            <w:tcW w:w="1668" w:type="dxa"/>
            <w:vAlign w:val="center"/>
          </w:tcPr>
          <w:p w14:paraId="65C17740" w14:textId="5FFEB92D" w:rsidR="00565A7D" w:rsidRPr="007857CF" w:rsidRDefault="00565A7D" w:rsidP="0028120F">
            <w:pPr>
              <w:rPr>
                <w:lang w:eastAsia="en-US"/>
              </w:rPr>
            </w:pPr>
            <w:r w:rsidRPr="007857CF">
              <w:rPr>
                <w:lang w:eastAsia="en-US"/>
              </w:rPr>
              <w:t>Category D</w:t>
            </w:r>
          </w:p>
        </w:tc>
        <w:tc>
          <w:tcPr>
            <w:tcW w:w="3082" w:type="dxa"/>
          </w:tcPr>
          <w:p w14:paraId="4A08C4D1" w14:textId="029A956C" w:rsidR="00565A7D" w:rsidRPr="007857CF" w:rsidRDefault="00736CDA" w:rsidP="00FB0AAA">
            <w:pPr>
              <w:jc w:val="both"/>
              <w:rPr>
                <w:lang w:val="ca-ES" w:eastAsia="en-US"/>
              </w:rPr>
            </w:pPr>
            <w:r w:rsidRPr="007857CF">
              <w:rPr>
                <w:lang w:eastAsia="en-US"/>
              </w:rPr>
              <w:t>This category concerns the files relating to a BP registered on the list of BP and obtained by modification known as "Minor"</w:t>
            </w:r>
            <w:r w:rsidRPr="007857CF">
              <w:rPr>
                <w:u w:val="single"/>
                <w:lang w:eastAsia="en-US"/>
              </w:rPr>
              <w:t xml:space="preserve"> </w:t>
            </w:r>
            <w:r w:rsidRPr="007857CF">
              <w:rPr>
                <w:lang w:eastAsia="en-US"/>
              </w:rPr>
              <w:t>element of the medical device, not affecting the quality of the BP a priori. Files in this category are not the subject of an experimental data deposit but a statement announcing the modifications envisaged so that the Group of Experts can position itself on the minor character of the declared changes.</w:t>
            </w:r>
          </w:p>
        </w:tc>
        <w:tc>
          <w:tcPr>
            <w:tcW w:w="1454" w:type="dxa"/>
            <w:vAlign w:val="center"/>
          </w:tcPr>
          <w:p w14:paraId="4D735559" w14:textId="6BBC47FB" w:rsidR="00565A7D" w:rsidRPr="007857CF" w:rsidRDefault="00736CDA" w:rsidP="004C44AC">
            <w:pPr>
              <w:jc w:val="center"/>
              <w:rPr>
                <w:lang w:eastAsia="en-US"/>
              </w:rPr>
            </w:pPr>
            <w:r w:rsidRPr="007857CF">
              <w:rPr>
                <w:lang w:eastAsia="en-US"/>
              </w:rPr>
              <w:t>Negligible (Green)</w:t>
            </w:r>
          </w:p>
        </w:tc>
        <w:tc>
          <w:tcPr>
            <w:tcW w:w="3685" w:type="dxa"/>
          </w:tcPr>
          <w:p w14:paraId="6B4DDA6C" w14:textId="088596B7" w:rsidR="00736CDA" w:rsidRPr="007857CF" w:rsidRDefault="00736CDA" w:rsidP="00736CDA">
            <w:pPr>
              <w:jc w:val="both"/>
              <w:rPr>
                <w:u w:val="single"/>
                <w:lang w:eastAsia="en-US"/>
              </w:rPr>
            </w:pPr>
            <w:r w:rsidRPr="007857CF">
              <w:rPr>
                <w:lang w:eastAsia="en-US"/>
              </w:rPr>
              <w:t xml:space="preserve">The assessment indicates that the BTC is safe and efficacious for clinical use and very unlikely to cause harm to recipients. </w:t>
            </w:r>
          </w:p>
          <w:p w14:paraId="24C15DFE" w14:textId="77777777" w:rsidR="00736CDA" w:rsidRPr="007857CF" w:rsidRDefault="00736CDA" w:rsidP="00736CDA">
            <w:pPr>
              <w:jc w:val="both"/>
              <w:rPr>
                <w:lang w:eastAsia="en-US"/>
              </w:rPr>
            </w:pPr>
            <w:r w:rsidRPr="007857CF">
              <w:rPr>
                <w:lang w:eastAsia="en-US"/>
              </w:rPr>
              <w:t xml:space="preserve">You should conduct a validation of the process, if not already done. </w:t>
            </w:r>
          </w:p>
          <w:p w14:paraId="5C9E25DA" w14:textId="293F9D63" w:rsidR="00565A7D" w:rsidRPr="007857CF" w:rsidRDefault="00736CDA" w:rsidP="00736CDA">
            <w:pPr>
              <w:jc w:val="both"/>
              <w:rPr>
                <w:lang w:eastAsia="en-US"/>
              </w:rPr>
            </w:pPr>
            <w:r w:rsidRPr="007857CF">
              <w:rPr>
                <w:lang w:eastAsia="en-US"/>
              </w:rPr>
              <w:t>If the nature of the risk is not related to the process it-self, the requirement for validation may not apply, for example where the novelty is in the method of clinical application.</w:t>
            </w:r>
          </w:p>
        </w:tc>
      </w:tr>
    </w:tbl>
    <w:p w14:paraId="06F42818" w14:textId="569F3A4C" w:rsidR="00FB0AAA" w:rsidRDefault="00EB4F53" w:rsidP="00FB0AAA">
      <w:pPr>
        <w:jc w:val="both"/>
        <w:rPr>
          <w:lang w:eastAsia="en-US"/>
        </w:rPr>
      </w:pPr>
      <w:r>
        <w:rPr>
          <w:lang w:eastAsia="en-US"/>
        </w:rPr>
        <w:t>Table 6: ANSM risk analysis versus EUROGTOII risk analysis</w:t>
      </w:r>
    </w:p>
    <w:p w14:paraId="5FB2D6BE" w14:textId="77777777" w:rsidR="00FB0AAA" w:rsidRPr="00BB4D81" w:rsidRDefault="00FB0AAA" w:rsidP="00FB0AAA">
      <w:pPr>
        <w:jc w:val="both"/>
        <w:rPr>
          <w:lang w:eastAsia="en-US"/>
        </w:rPr>
      </w:pPr>
    </w:p>
    <w:tbl>
      <w:tblPr>
        <w:tblStyle w:val="TableGrid"/>
        <w:tblW w:w="0" w:type="auto"/>
        <w:tblLook w:val="04A0" w:firstRow="1" w:lastRow="0" w:firstColumn="1" w:lastColumn="0" w:noHBand="0" w:noVBand="1"/>
      </w:tblPr>
      <w:tblGrid>
        <w:gridCol w:w="1696"/>
        <w:gridCol w:w="1843"/>
        <w:gridCol w:w="5811"/>
      </w:tblGrid>
      <w:tr w:rsidR="00441A63" w:rsidRPr="00BB4D81" w14:paraId="452A27CD" w14:textId="77777777" w:rsidTr="00441A63">
        <w:tc>
          <w:tcPr>
            <w:tcW w:w="1696" w:type="dxa"/>
          </w:tcPr>
          <w:p w14:paraId="54D2C13A" w14:textId="5E713C5F" w:rsidR="00441A63" w:rsidRPr="00BB4D81" w:rsidRDefault="00441A63" w:rsidP="00332CCC">
            <w:pPr>
              <w:rPr>
                <w:b/>
                <w:lang w:eastAsia="en-US"/>
              </w:rPr>
            </w:pPr>
            <w:r w:rsidRPr="00BB4D81">
              <w:rPr>
                <w:b/>
                <w:lang w:eastAsia="en-US"/>
              </w:rPr>
              <w:t>ANSM (blood)</w:t>
            </w:r>
          </w:p>
        </w:tc>
        <w:tc>
          <w:tcPr>
            <w:tcW w:w="1843" w:type="dxa"/>
          </w:tcPr>
          <w:p w14:paraId="344BAC08" w14:textId="32DD4DFD" w:rsidR="00441A63" w:rsidRPr="00BB4D81" w:rsidRDefault="00441A63" w:rsidP="00332CCC">
            <w:pPr>
              <w:rPr>
                <w:b/>
                <w:lang w:eastAsia="en-US"/>
              </w:rPr>
            </w:pPr>
            <w:r w:rsidRPr="00BB4D81">
              <w:rPr>
                <w:b/>
                <w:lang w:eastAsia="en-US"/>
              </w:rPr>
              <w:t>EUROGTP (tissues and cells)</w:t>
            </w:r>
          </w:p>
        </w:tc>
        <w:tc>
          <w:tcPr>
            <w:tcW w:w="5811" w:type="dxa"/>
          </w:tcPr>
          <w:p w14:paraId="56138034" w14:textId="07528809" w:rsidR="00441A63" w:rsidRPr="00BB4D81" w:rsidRDefault="00441A63" w:rsidP="00332CCC">
            <w:pPr>
              <w:rPr>
                <w:b/>
                <w:lang w:eastAsia="en-US"/>
              </w:rPr>
            </w:pPr>
            <w:r w:rsidRPr="00BB4D81">
              <w:rPr>
                <w:b/>
                <w:lang w:eastAsia="en-US"/>
              </w:rPr>
              <w:t>ANSM + EUROGTP</w:t>
            </w:r>
          </w:p>
        </w:tc>
      </w:tr>
      <w:tr w:rsidR="00441A63" w:rsidRPr="00BB4D81" w14:paraId="192BC650" w14:textId="77777777" w:rsidTr="00441A63">
        <w:tc>
          <w:tcPr>
            <w:tcW w:w="1696" w:type="dxa"/>
          </w:tcPr>
          <w:p w14:paraId="605E0302" w14:textId="77777777" w:rsidR="00441A63" w:rsidRPr="00BB4D81" w:rsidRDefault="00441A63" w:rsidP="00441A63">
            <w:pPr>
              <w:rPr>
                <w:lang w:eastAsia="en-US"/>
              </w:rPr>
            </w:pPr>
            <w:r w:rsidRPr="00BB4D81">
              <w:rPr>
                <w:b/>
                <w:bCs/>
                <w:lang w:eastAsia="en-US"/>
              </w:rPr>
              <w:t xml:space="preserve">Category A: </w:t>
            </w:r>
            <w:r w:rsidRPr="00BB4D81">
              <w:rPr>
                <w:lang w:eastAsia="en-US"/>
              </w:rPr>
              <w:t>not on the list</w:t>
            </w:r>
          </w:p>
          <w:p w14:paraId="7D45C64D" w14:textId="77777777" w:rsidR="00441A63" w:rsidRPr="00BB4D81" w:rsidRDefault="00441A63" w:rsidP="00332CCC">
            <w:pPr>
              <w:rPr>
                <w:lang w:eastAsia="en-US"/>
              </w:rPr>
            </w:pPr>
          </w:p>
        </w:tc>
        <w:tc>
          <w:tcPr>
            <w:tcW w:w="1843" w:type="dxa"/>
          </w:tcPr>
          <w:p w14:paraId="651E50C6" w14:textId="77777777" w:rsidR="00441A63" w:rsidRPr="00BB4D81" w:rsidRDefault="00441A63" w:rsidP="00441A63">
            <w:pPr>
              <w:rPr>
                <w:lang w:eastAsia="en-US"/>
              </w:rPr>
            </w:pPr>
            <w:r w:rsidRPr="00BB4D81">
              <w:rPr>
                <w:b/>
                <w:bCs/>
                <w:lang w:eastAsia="en-US"/>
              </w:rPr>
              <w:t xml:space="preserve">Red: </w:t>
            </w:r>
            <w:r w:rsidRPr="00BB4D81">
              <w:rPr>
                <w:lang w:eastAsia="en-US"/>
              </w:rPr>
              <w:t>Controlled study/Follow up programs</w:t>
            </w:r>
          </w:p>
          <w:p w14:paraId="78D56836" w14:textId="77777777" w:rsidR="00441A63" w:rsidRPr="00BB4D81" w:rsidRDefault="00441A63" w:rsidP="00332CCC">
            <w:pPr>
              <w:rPr>
                <w:lang w:eastAsia="en-US"/>
              </w:rPr>
            </w:pPr>
          </w:p>
        </w:tc>
        <w:tc>
          <w:tcPr>
            <w:tcW w:w="5811" w:type="dxa"/>
          </w:tcPr>
          <w:p w14:paraId="3D00C51D" w14:textId="77777777" w:rsidR="00441A63" w:rsidRPr="00BB4D81" w:rsidRDefault="00441A63" w:rsidP="00441A63">
            <w:pPr>
              <w:rPr>
                <w:lang w:eastAsia="en-US"/>
              </w:rPr>
            </w:pPr>
            <w:r w:rsidRPr="00BB4D81">
              <w:rPr>
                <w:lang w:eastAsia="en-US"/>
              </w:rPr>
              <w:t xml:space="preserve">The assessment indicates that significantly more evidence is needed to support safe and effective use of this BTC and mitigate risk. </w:t>
            </w:r>
            <w:r w:rsidRPr="00BB4D81">
              <w:rPr>
                <w:u w:val="single"/>
                <w:lang w:eastAsia="en-US"/>
              </w:rPr>
              <w:t>The BTC product is not registered</w:t>
            </w:r>
            <w:r w:rsidRPr="00BB4D81">
              <w:rPr>
                <w:lang w:eastAsia="en-US"/>
              </w:rPr>
              <w:t>.</w:t>
            </w:r>
          </w:p>
          <w:p w14:paraId="6196BDAE" w14:textId="77777777" w:rsidR="00441A63" w:rsidRPr="00BB4D81" w:rsidRDefault="00441A63" w:rsidP="00441A63">
            <w:pPr>
              <w:rPr>
                <w:lang w:eastAsia="en-US"/>
              </w:rPr>
            </w:pPr>
            <w:r w:rsidRPr="00BB4D81">
              <w:rPr>
                <w:lang w:eastAsia="en-US"/>
              </w:rPr>
              <w:t xml:space="preserve">Process validation should be performed, however if the nature of the risk is not related to the process itself, the requirement for validation may not apply, for example where the novelty is in the method of clinical application. </w:t>
            </w:r>
          </w:p>
          <w:p w14:paraId="6EF79560" w14:textId="77777777" w:rsidR="00441A63" w:rsidRPr="00BB4D81" w:rsidRDefault="00441A63" w:rsidP="00441A63">
            <w:pPr>
              <w:rPr>
                <w:lang w:eastAsia="en-US"/>
              </w:rPr>
            </w:pPr>
            <w:r w:rsidRPr="00BB4D81">
              <w:rPr>
                <w:lang w:eastAsia="en-US"/>
              </w:rPr>
              <w:t>Pre-clinical in vitro evaluation, specific to the identified risks, should be performed if not already done.</w:t>
            </w:r>
          </w:p>
          <w:p w14:paraId="2E0BE3B8" w14:textId="3EA3C9B4" w:rsidR="00441A63" w:rsidRPr="00BB4D81" w:rsidRDefault="00441A63" w:rsidP="00332CCC">
            <w:pPr>
              <w:rPr>
                <w:lang w:eastAsia="en-US"/>
              </w:rPr>
            </w:pPr>
            <w:r w:rsidRPr="00BB4D81">
              <w:rPr>
                <w:lang w:eastAsia="en-US"/>
              </w:rPr>
              <w:t>Pre-clinical in vivo evaluation, specific to the identified risks, using an animal model should be done if applicable (and if not already completed).</w:t>
            </w:r>
          </w:p>
        </w:tc>
      </w:tr>
      <w:tr w:rsidR="00441A63" w:rsidRPr="00BB4D81" w14:paraId="64DAD0EC" w14:textId="77777777" w:rsidTr="00441A63">
        <w:tc>
          <w:tcPr>
            <w:tcW w:w="1696" w:type="dxa"/>
          </w:tcPr>
          <w:p w14:paraId="1CB65BC5" w14:textId="77777777" w:rsidR="00441A63" w:rsidRPr="00BB4D81" w:rsidRDefault="00441A63" w:rsidP="00441A63">
            <w:pPr>
              <w:rPr>
                <w:lang w:eastAsia="en-US"/>
              </w:rPr>
            </w:pPr>
            <w:r w:rsidRPr="00BB4D81">
              <w:rPr>
                <w:b/>
                <w:bCs/>
                <w:lang w:eastAsia="en-US"/>
              </w:rPr>
              <w:t xml:space="preserve">Category B: </w:t>
            </w:r>
            <w:r w:rsidRPr="00BB4D81">
              <w:rPr>
                <w:lang w:eastAsia="en-US"/>
              </w:rPr>
              <w:t>registered; major modification</w:t>
            </w:r>
          </w:p>
          <w:p w14:paraId="3F63B4F1" w14:textId="77777777" w:rsidR="00441A63" w:rsidRPr="00BB4D81" w:rsidRDefault="00441A63" w:rsidP="00332CCC">
            <w:pPr>
              <w:rPr>
                <w:lang w:eastAsia="en-US"/>
              </w:rPr>
            </w:pPr>
          </w:p>
        </w:tc>
        <w:tc>
          <w:tcPr>
            <w:tcW w:w="1843" w:type="dxa"/>
          </w:tcPr>
          <w:p w14:paraId="0FACF559" w14:textId="77777777" w:rsidR="00441A63" w:rsidRPr="00BB4D81" w:rsidRDefault="00441A63" w:rsidP="00441A63">
            <w:pPr>
              <w:rPr>
                <w:lang w:eastAsia="en-US"/>
              </w:rPr>
            </w:pPr>
            <w:r w:rsidRPr="00BB4D81">
              <w:rPr>
                <w:b/>
                <w:bCs/>
                <w:lang w:eastAsia="en-US"/>
              </w:rPr>
              <w:t>Orange:</w:t>
            </w:r>
            <w:r w:rsidRPr="00BB4D81">
              <w:rPr>
                <w:lang w:eastAsia="en-US"/>
              </w:rPr>
              <w:t xml:space="preserve"> Structured plan for active collection of a specific set of data</w:t>
            </w:r>
          </w:p>
          <w:p w14:paraId="6F215F22" w14:textId="77777777" w:rsidR="00441A63" w:rsidRPr="00BB4D81" w:rsidRDefault="00441A63" w:rsidP="00332CCC">
            <w:pPr>
              <w:rPr>
                <w:lang w:eastAsia="en-US"/>
              </w:rPr>
            </w:pPr>
          </w:p>
        </w:tc>
        <w:tc>
          <w:tcPr>
            <w:tcW w:w="5811" w:type="dxa"/>
          </w:tcPr>
          <w:p w14:paraId="1881C665" w14:textId="77777777" w:rsidR="00441A63" w:rsidRPr="00BB4D81" w:rsidRDefault="00441A63" w:rsidP="00441A63">
            <w:pPr>
              <w:rPr>
                <w:u w:val="single"/>
                <w:lang w:eastAsia="en-US"/>
              </w:rPr>
            </w:pPr>
            <w:r w:rsidRPr="00BB4D81">
              <w:rPr>
                <w:lang w:eastAsia="en-US"/>
              </w:rPr>
              <w:t xml:space="preserve">The assessment indicates that more evidence is needed to support safe and effective use of this BTC and mitigate risk.  </w:t>
            </w:r>
            <w:r w:rsidRPr="00BB4D81">
              <w:rPr>
                <w:u w:val="single"/>
                <w:lang w:eastAsia="en-US"/>
              </w:rPr>
              <w:t>The BTC product is already registered.</w:t>
            </w:r>
          </w:p>
          <w:p w14:paraId="45A4BFD2" w14:textId="77777777" w:rsidR="00441A63" w:rsidRPr="00BB4D81" w:rsidRDefault="00441A63" w:rsidP="00441A63">
            <w:pPr>
              <w:rPr>
                <w:lang w:eastAsia="en-US"/>
              </w:rPr>
            </w:pPr>
            <w:r w:rsidRPr="00BB4D81">
              <w:rPr>
                <w:lang w:eastAsia="en-US"/>
              </w:rPr>
              <w:t xml:space="preserve">Process validation should be performed, however if the nature of the risk is not related to the process itself, the requirement for validation may not apply, for example where the novelty is in the method of clinical application. </w:t>
            </w:r>
          </w:p>
          <w:p w14:paraId="5C5FBECB" w14:textId="77777777" w:rsidR="00441A63" w:rsidRPr="00BB4D81" w:rsidRDefault="00441A63" w:rsidP="00441A63">
            <w:pPr>
              <w:rPr>
                <w:lang w:eastAsia="en-US"/>
              </w:rPr>
            </w:pPr>
            <w:r w:rsidRPr="00BB4D81">
              <w:rPr>
                <w:lang w:eastAsia="en-US"/>
              </w:rPr>
              <w:t>Pre-clinical in vitro evaluation, specific to the identified risks, should be performed if not already done.</w:t>
            </w:r>
          </w:p>
          <w:p w14:paraId="6E4B9688" w14:textId="0242C9AB" w:rsidR="00441A63" w:rsidRPr="00BB4D81" w:rsidRDefault="00441A63" w:rsidP="00332CCC">
            <w:pPr>
              <w:rPr>
                <w:lang w:eastAsia="en-US"/>
              </w:rPr>
            </w:pPr>
            <w:r w:rsidRPr="00BB4D81">
              <w:rPr>
                <w:lang w:eastAsia="en-US"/>
              </w:rPr>
              <w:t>Pre-clinical in vivo evaluation, specific to the identified risks, using an animal model should be done if applicable (and if not already completed).</w:t>
            </w:r>
          </w:p>
        </w:tc>
      </w:tr>
      <w:tr w:rsidR="00441A63" w:rsidRPr="00BB4D81" w14:paraId="36029D04" w14:textId="77777777" w:rsidTr="00441A63">
        <w:tc>
          <w:tcPr>
            <w:tcW w:w="1696" w:type="dxa"/>
          </w:tcPr>
          <w:p w14:paraId="7C6650DB" w14:textId="77777777" w:rsidR="00441A63" w:rsidRPr="00BB4D81" w:rsidRDefault="00441A63" w:rsidP="00441A63">
            <w:pPr>
              <w:rPr>
                <w:bCs/>
                <w:lang w:eastAsia="en-US"/>
              </w:rPr>
            </w:pPr>
            <w:r w:rsidRPr="00BB4D81">
              <w:rPr>
                <w:b/>
                <w:bCs/>
                <w:lang w:eastAsia="en-US"/>
              </w:rPr>
              <w:t>Category C:</w:t>
            </w:r>
            <w:r w:rsidRPr="00BB4D81">
              <w:rPr>
                <w:bCs/>
                <w:lang w:eastAsia="en-US"/>
              </w:rPr>
              <w:t xml:space="preserve"> registered; non-major modification</w:t>
            </w:r>
          </w:p>
          <w:p w14:paraId="16619468" w14:textId="77777777" w:rsidR="00441A63" w:rsidRPr="00BB4D81" w:rsidRDefault="00441A63" w:rsidP="00441A63">
            <w:pPr>
              <w:rPr>
                <w:bCs/>
                <w:lang w:eastAsia="en-US"/>
              </w:rPr>
            </w:pPr>
          </w:p>
        </w:tc>
        <w:tc>
          <w:tcPr>
            <w:tcW w:w="1843" w:type="dxa"/>
          </w:tcPr>
          <w:p w14:paraId="0DF1DD15" w14:textId="77777777" w:rsidR="00441A63" w:rsidRPr="00BB4D81" w:rsidRDefault="00441A63" w:rsidP="00441A63">
            <w:pPr>
              <w:rPr>
                <w:b/>
                <w:bCs/>
                <w:lang w:eastAsia="en-US"/>
              </w:rPr>
            </w:pPr>
            <w:r w:rsidRPr="00BB4D81">
              <w:rPr>
                <w:b/>
                <w:bCs/>
                <w:lang w:eastAsia="en-US"/>
              </w:rPr>
              <w:t xml:space="preserve">Yellow: </w:t>
            </w:r>
            <w:r w:rsidRPr="00BB4D81">
              <w:rPr>
                <w:bCs/>
                <w:lang w:eastAsia="en-US"/>
              </w:rPr>
              <w:t>Routine follow up programs</w:t>
            </w:r>
          </w:p>
          <w:p w14:paraId="38871F8A" w14:textId="77777777" w:rsidR="00441A63" w:rsidRPr="00BB4D81" w:rsidRDefault="00441A63" w:rsidP="00441A63">
            <w:pPr>
              <w:rPr>
                <w:b/>
                <w:bCs/>
                <w:lang w:eastAsia="en-US"/>
              </w:rPr>
            </w:pPr>
          </w:p>
        </w:tc>
        <w:tc>
          <w:tcPr>
            <w:tcW w:w="5811" w:type="dxa"/>
          </w:tcPr>
          <w:p w14:paraId="068291A6" w14:textId="77777777" w:rsidR="00441A63" w:rsidRPr="00BB4D81" w:rsidRDefault="00441A63" w:rsidP="00441A63">
            <w:pPr>
              <w:rPr>
                <w:lang w:eastAsia="en-US"/>
              </w:rPr>
            </w:pPr>
            <w:r w:rsidRPr="00BB4D81">
              <w:rPr>
                <w:lang w:eastAsia="en-US"/>
              </w:rPr>
              <w:t xml:space="preserve">The BTC is safe and efficacious for clinical use and unlikely to cause harm to recipients. </w:t>
            </w:r>
            <w:r w:rsidRPr="00BB4D81">
              <w:rPr>
                <w:u w:val="single"/>
                <w:lang w:eastAsia="en-US"/>
              </w:rPr>
              <w:t>The BTC is registered.</w:t>
            </w:r>
          </w:p>
          <w:p w14:paraId="32D1CF18" w14:textId="61039A6A" w:rsidR="00441A63" w:rsidRPr="00BB4D81" w:rsidRDefault="00441A63" w:rsidP="00441A63">
            <w:pPr>
              <w:rPr>
                <w:lang w:eastAsia="en-US"/>
              </w:rPr>
            </w:pPr>
            <w:r w:rsidRPr="00BB4D81">
              <w:rPr>
                <w:lang w:eastAsia="en-US"/>
              </w:rPr>
              <w:t xml:space="preserve"> A validation of the process </w:t>
            </w:r>
            <w:r w:rsidRPr="00BB4D81">
              <w:rPr>
                <w:u w:val="single"/>
                <w:lang w:eastAsia="en-US"/>
              </w:rPr>
              <w:t>and a quality verification of the BTC,</w:t>
            </w:r>
            <w:r w:rsidRPr="00BB4D81">
              <w:rPr>
                <w:lang w:eastAsia="en-US"/>
              </w:rPr>
              <w:t xml:space="preserve"> if not already done, should be performed. If the nature of the risk is not related to the process itself, the requirement for validation may not apply, for example where the novelty is in the method of clinical application.</w:t>
            </w:r>
          </w:p>
        </w:tc>
      </w:tr>
      <w:tr w:rsidR="00441A63" w:rsidRPr="00BB4D81" w14:paraId="07E5A8F6" w14:textId="77777777" w:rsidTr="00441A63">
        <w:tc>
          <w:tcPr>
            <w:tcW w:w="1696" w:type="dxa"/>
          </w:tcPr>
          <w:p w14:paraId="08625263" w14:textId="77777777" w:rsidR="00441A63" w:rsidRPr="00BB4D81" w:rsidRDefault="00441A63" w:rsidP="00441A63">
            <w:pPr>
              <w:rPr>
                <w:bCs/>
                <w:lang w:eastAsia="en-US"/>
              </w:rPr>
            </w:pPr>
            <w:r w:rsidRPr="00BB4D81">
              <w:rPr>
                <w:b/>
                <w:bCs/>
                <w:lang w:eastAsia="en-US"/>
              </w:rPr>
              <w:t xml:space="preserve">Category D: </w:t>
            </w:r>
            <w:r w:rsidRPr="00BB4D81">
              <w:rPr>
                <w:bCs/>
                <w:lang w:eastAsia="en-US"/>
              </w:rPr>
              <w:t>registered; minor-modification</w:t>
            </w:r>
          </w:p>
          <w:p w14:paraId="24457E57" w14:textId="77777777" w:rsidR="00441A63" w:rsidRPr="00BB4D81" w:rsidRDefault="00441A63" w:rsidP="00441A63">
            <w:pPr>
              <w:rPr>
                <w:bCs/>
                <w:lang w:eastAsia="en-US"/>
              </w:rPr>
            </w:pPr>
          </w:p>
        </w:tc>
        <w:tc>
          <w:tcPr>
            <w:tcW w:w="1843" w:type="dxa"/>
          </w:tcPr>
          <w:p w14:paraId="3CE606FC" w14:textId="77777777" w:rsidR="00441A63" w:rsidRPr="00BB4D81" w:rsidRDefault="00441A63" w:rsidP="00441A63">
            <w:pPr>
              <w:rPr>
                <w:bCs/>
                <w:lang w:eastAsia="en-US"/>
              </w:rPr>
            </w:pPr>
            <w:r w:rsidRPr="00BB4D81">
              <w:rPr>
                <w:b/>
                <w:bCs/>
                <w:lang w:eastAsia="en-US"/>
              </w:rPr>
              <w:t xml:space="preserve">Green: </w:t>
            </w:r>
            <w:r w:rsidRPr="00BB4D81">
              <w:rPr>
                <w:bCs/>
                <w:lang w:eastAsia="en-US"/>
              </w:rPr>
              <w:t>SARE Report</w:t>
            </w:r>
          </w:p>
          <w:p w14:paraId="190CA5A0" w14:textId="77777777" w:rsidR="00441A63" w:rsidRPr="00BB4D81" w:rsidRDefault="00441A63" w:rsidP="00441A63">
            <w:pPr>
              <w:rPr>
                <w:b/>
                <w:bCs/>
                <w:lang w:eastAsia="en-US"/>
              </w:rPr>
            </w:pPr>
          </w:p>
        </w:tc>
        <w:tc>
          <w:tcPr>
            <w:tcW w:w="5811" w:type="dxa"/>
          </w:tcPr>
          <w:p w14:paraId="262F2FD5" w14:textId="77777777" w:rsidR="00441A63" w:rsidRPr="00BB4D81" w:rsidRDefault="00441A63" w:rsidP="00441A63">
            <w:pPr>
              <w:rPr>
                <w:u w:val="single"/>
                <w:lang w:eastAsia="en-US"/>
              </w:rPr>
            </w:pPr>
            <w:r w:rsidRPr="00BB4D81">
              <w:rPr>
                <w:lang w:eastAsia="en-US"/>
              </w:rPr>
              <w:t xml:space="preserve">The assessment indicates that the BTC is safe and efficacious for clinical use and very unlikely to cause harm to recipients. </w:t>
            </w:r>
            <w:r w:rsidRPr="00BB4D81">
              <w:rPr>
                <w:u w:val="single"/>
                <w:lang w:eastAsia="en-US"/>
              </w:rPr>
              <w:t>Is a BTC that has already been registered. And the change does not seem to affect the quality of the BTC.</w:t>
            </w:r>
          </w:p>
          <w:p w14:paraId="7B4AB9B8" w14:textId="77777777" w:rsidR="00441A63" w:rsidRPr="00BB4D81" w:rsidRDefault="00441A63" w:rsidP="00441A63">
            <w:pPr>
              <w:rPr>
                <w:lang w:eastAsia="en-US"/>
              </w:rPr>
            </w:pPr>
            <w:r w:rsidRPr="00BB4D81">
              <w:rPr>
                <w:lang w:eastAsia="en-US"/>
              </w:rPr>
              <w:t xml:space="preserve">You should conduct a validation of the process, if not already done. </w:t>
            </w:r>
          </w:p>
          <w:p w14:paraId="153AB2AF" w14:textId="7965B7E7" w:rsidR="00441A63" w:rsidRPr="00BB4D81" w:rsidRDefault="00441A63" w:rsidP="00441A63">
            <w:pPr>
              <w:rPr>
                <w:lang w:eastAsia="en-US"/>
              </w:rPr>
            </w:pPr>
            <w:r w:rsidRPr="00BB4D81">
              <w:rPr>
                <w:lang w:eastAsia="en-US"/>
              </w:rPr>
              <w:t>If the nature of the risk is not related to the process it-self, the requirement for validation may not apply, for example where the novelty is in the method of clinical application.</w:t>
            </w:r>
          </w:p>
        </w:tc>
      </w:tr>
    </w:tbl>
    <w:p w14:paraId="046F1255" w14:textId="48ECC6D5" w:rsidR="00441A63" w:rsidRPr="00BB4D81" w:rsidRDefault="00C01303" w:rsidP="00332CCC">
      <w:pPr>
        <w:rPr>
          <w:lang w:eastAsia="en-US"/>
        </w:rPr>
      </w:pPr>
      <w:r w:rsidRPr="00BB4D81">
        <w:rPr>
          <w:lang w:eastAsia="en-US"/>
        </w:rPr>
        <w:t xml:space="preserve">Table </w:t>
      </w:r>
      <w:r w:rsidR="00EB4F53">
        <w:rPr>
          <w:lang w:eastAsia="en-US"/>
        </w:rPr>
        <w:t>7</w:t>
      </w:r>
      <w:r w:rsidRPr="00BB4D81">
        <w:rPr>
          <w:lang w:eastAsia="en-US"/>
        </w:rPr>
        <w:t xml:space="preserve">: Combined ANSM and </w:t>
      </w:r>
      <w:r w:rsidR="0093210F">
        <w:rPr>
          <w:lang w:eastAsia="en-US"/>
        </w:rPr>
        <w:t>EURO</w:t>
      </w:r>
      <w:r w:rsidRPr="00BB4D81">
        <w:rPr>
          <w:lang w:eastAsia="en-US"/>
        </w:rPr>
        <w:t>GTPII risk tool</w:t>
      </w:r>
    </w:p>
    <w:p w14:paraId="520695EA" w14:textId="1EFE79CE" w:rsidR="0032537A" w:rsidRPr="00BB4D81" w:rsidRDefault="0032537A" w:rsidP="00332CCC">
      <w:pPr>
        <w:rPr>
          <w:lang w:eastAsia="en-US"/>
        </w:rPr>
      </w:pPr>
      <w:r w:rsidRPr="00BB4D81">
        <w:rPr>
          <w:lang w:eastAsia="en-US"/>
        </w:rPr>
        <w:t>The risk assessment and any</w:t>
      </w:r>
      <w:r w:rsidR="00101564" w:rsidRPr="00BB4D81">
        <w:rPr>
          <w:lang w:eastAsia="en-US"/>
        </w:rPr>
        <w:t xml:space="preserve"> required</w:t>
      </w:r>
      <w:r w:rsidRPr="00BB4D81">
        <w:rPr>
          <w:lang w:eastAsia="en-US"/>
        </w:rPr>
        <w:t xml:space="preserve"> clinical follow up will be closely linked with the outputs determined by WP8. </w:t>
      </w:r>
    </w:p>
    <w:p w14:paraId="53B9AC15" w14:textId="77777777" w:rsidR="009E1008" w:rsidRPr="007857CF" w:rsidRDefault="009E1008" w:rsidP="009E1008">
      <w:pPr>
        <w:pStyle w:val="Heading3"/>
        <w:jc w:val="both"/>
        <w:rPr>
          <w:rFonts w:eastAsia="Times New Roman"/>
          <w:b/>
          <w:lang w:eastAsia="en-US"/>
        </w:rPr>
      </w:pPr>
      <w:bookmarkStart w:id="6" w:name="_Toc48388674"/>
      <w:r w:rsidRPr="007857CF">
        <w:rPr>
          <w:rFonts w:eastAsia="Times New Roman"/>
          <w:b/>
          <w:lang w:eastAsia="en-US"/>
        </w:rPr>
        <w:t>New / Novel Processes</w:t>
      </w:r>
      <w:bookmarkEnd w:id="6"/>
    </w:p>
    <w:p w14:paraId="09E7D383" w14:textId="77777777" w:rsidR="00BB2245" w:rsidRPr="007857CF" w:rsidRDefault="00BB2245" w:rsidP="007D1C92">
      <w:pPr>
        <w:contextualSpacing/>
        <w:jc w:val="both"/>
        <w:rPr>
          <w:rFonts w:ascii="Segoe UI" w:eastAsia="Calibri" w:hAnsi="Segoe UI" w:cs="Segoe UI"/>
          <w:b/>
          <w:sz w:val="20"/>
          <w:szCs w:val="20"/>
        </w:rPr>
      </w:pPr>
    </w:p>
    <w:p w14:paraId="47417C9A" w14:textId="1B4E1564" w:rsidR="00E3603F" w:rsidRPr="007857CF" w:rsidRDefault="00FD6EC4" w:rsidP="007D1C92">
      <w:pPr>
        <w:contextualSpacing/>
        <w:jc w:val="both"/>
        <w:rPr>
          <w:rFonts w:ascii="Segoe UI" w:eastAsia="Calibri" w:hAnsi="Segoe UI" w:cs="Segoe UI"/>
          <w:b/>
          <w:sz w:val="20"/>
          <w:szCs w:val="20"/>
        </w:rPr>
      </w:pPr>
      <w:r w:rsidRPr="007857CF">
        <w:rPr>
          <w:rFonts w:ascii="Segoe UI" w:eastAsia="Calibri" w:hAnsi="Segoe UI" w:cs="Segoe UI"/>
          <w:b/>
          <w:sz w:val="20"/>
          <w:szCs w:val="20"/>
        </w:rPr>
        <w:t>Novelty -</w:t>
      </w:r>
      <w:r w:rsidR="00E3603F" w:rsidRPr="007857CF">
        <w:rPr>
          <w:rFonts w:ascii="Segoe UI" w:eastAsia="Calibri" w:hAnsi="Segoe UI" w:cs="Segoe UI"/>
          <w:b/>
          <w:sz w:val="20"/>
          <w:szCs w:val="20"/>
        </w:rPr>
        <w:t xml:space="preserve"> WP5 Survey</w:t>
      </w:r>
    </w:p>
    <w:p w14:paraId="24B82BE2" w14:textId="77777777" w:rsidR="00E3603F" w:rsidRPr="00BB4D81" w:rsidRDefault="00E3603F" w:rsidP="007D1C92">
      <w:pPr>
        <w:contextualSpacing/>
        <w:jc w:val="both"/>
        <w:rPr>
          <w:rFonts w:ascii="Segoe UI" w:eastAsia="Calibri" w:hAnsi="Segoe UI" w:cs="Segoe UI"/>
          <w:sz w:val="20"/>
          <w:szCs w:val="20"/>
        </w:rPr>
      </w:pPr>
    </w:p>
    <w:p w14:paraId="60B057A9" w14:textId="4A26A2D4" w:rsidR="007D1C92" w:rsidRPr="00BB4D81" w:rsidRDefault="007D1C92" w:rsidP="007D1C92">
      <w:p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When asked if the MS CA had a system in place to manage the authorisation of new / novel activities, processes, products, clinical indications, or if there was no system in place. </w:t>
      </w:r>
    </w:p>
    <w:p w14:paraId="2600FB17" w14:textId="00AE1F22" w:rsidR="007D1C92" w:rsidRPr="00BB4D81" w:rsidRDefault="007D1C92" w:rsidP="007D1C92">
      <w:p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71% </w:t>
      </w:r>
      <w:r w:rsidR="001C72B5" w:rsidRPr="00BB4D81">
        <w:rPr>
          <w:rFonts w:ascii="Segoe UI" w:eastAsia="Calibri" w:hAnsi="Segoe UI" w:cs="Segoe UI"/>
          <w:sz w:val="20"/>
          <w:szCs w:val="20"/>
        </w:rPr>
        <w:t xml:space="preserve">(17/24) </w:t>
      </w:r>
      <w:r w:rsidRPr="00BB4D81">
        <w:rPr>
          <w:rFonts w:ascii="Segoe UI" w:eastAsia="Calibri" w:hAnsi="Segoe UI" w:cs="Segoe UI"/>
          <w:sz w:val="20"/>
          <w:szCs w:val="20"/>
        </w:rPr>
        <w:t>of respondents indicated that they had a system in place to manage new / novel activities, 50%</w:t>
      </w:r>
      <w:r w:rsidR="001C72B5" w:rsidRPr="00BB4D81">
        <w:rPr>
          <w:rFonts w:ascii="Segoe UI" w:eastAsia="Calibri" w:hAnsi="Segoe UI" w:cs="Segoe UI"/>
          <w:sz w:val="20"/>
          <w:szCs w:val="20"/>
        </w:rPr>
        <w:t xml:space="preserve"> (12/24)</w:t>
      </w:r>
      <w:r w:rsidRPr="00BB4D81">
        <w:rPr>
          <w:rFonts w:ascii="Segoe UI" w:eastAsia="Calibri" w:hAnsi="Segoe UI" w:cs="Segoe UI"/>
          <w:sz w:val="20"/>
          <w:szCs w:val="20"/>
        </w:rPr>
        <w:t xml:space="preserve"> indicated </w:t>
      </w:r>
      <w:r w:rsidR="00E3603F" w:rsidRPr="00BB4D81">
        <w:rPr>
          <w:rFonts w:ascii="Segoe UI" w:eastAsia="Calibri" w:hAnsi="Segoe UI" w:cs="Segoe UI"/>
          <w:sz w:val="20"/>
          <w:szCs w:val="20"/>
        </w:rPr>
        <w:t xml:space="preserve">they had a system in place </w:t>
      </w:r>
      <w:r w:rsidRPr="00BB4D81">
        <w:rPr>
          <w:rFonts w:ascii="Segoe UI" w:eastAsia="Calibri" w:hAnsi="Segoe UI" w:cs="Segoe UI"/>
          <w:sz w:val="20"/>
          <w:szCs w:val="20"/>
        </w:rPr>
        <w:t xml:space="preserve">for new / novel products, 58% </w:t>
      </w:r>
      <w:r w:rsidR="001C72B5" w:rsidRPr="00BB4D81">
        <w:rPr>
          <w:rFonts w:ascii="Segoe UI" w:eastAsia="Calibri" w:hAnsi="Segoe UI" w:cs="Segoe UI"/>
          <w:sz w:val="20"/>
          <w:szCs w:val="20"/>
        </w:rPr>
        <w:t xml:space="preserve">(14/24) </w:t>
      </w:r>
      <w:r w:rsidRPr="00BB4D81">
        <w:rPr>
          <w:rFonts w:ascii="Segoe UI" w:eastAsia="Calibri" w:hAnsi="Segoe UI" w:cs="Segoe UI"/>
          <w:sz w:val="20"/>
          <w:szCs w:val="20"/>
        </w:rPr>
        <w:t xml:space="preserve">indicated </w:t>
      </w:r>
      <w:r w:rsidR="00E3603F" w:rsidRPr="00BB4D81">
        <w:rPr>
          <w:rFonts w:ascii="Segoe UI" w:eastAsia="Calibri" w:hAnsi="Segoe UI" w:cs="Segoe UI"/>
          <w:sz w:val="20"/>
          <w:szCs w:val="20"/>
        </w:rPr>
        <w:t>they had a system in place</w:t>
      </w:r>
      <w:r w:rsidRPr="00BB4D81">
        <w:rPr>
          <w:rFonts w:ascii="Segoe UI" w:eastAsia="Calibri" w:hAnsi="Segoe UI" w:cs="Segoe UI"/>
          <w:sz w:val="20"/>
          <w:szCs w:val="20"/>
        </w:rPr>
        <w:t xml:space="preserve"> for </w:t>
      </w:r>
      <w:r w:rsidR="00E3603F" w:rsidRPr="00BB4D81">
        <w:rPr>
          <w:rFonts w:ascii="Segoe UI" w:eastAsia="Calibri" w:hAnsi="Segoe UI" w:cs="Segoe UI"/>
          <w:sz w:val="20"/>
          <w:szCs w:val="20"/>
        </w:rPr>
        <w:t xml:space="preserve">new / novel </w:t>
      </w:r>
      <w:r w:rsidRPr="00BB4D81">
        <w:rPr>
          <w:rFonts w:ascii="Segoe UI" w:eastAsia="Calibri" w:hAnsi="Segoe UI" w:cs="Segoe UI"/>
          <w:sz w:val="20"/>
          <w:szCs w:val="20"/>
        </w:rPr>
        <w:t xml:space="preserve">processes and 8% </w:t>
      </w:r>
      <w:r w:rsidR="001C72B5" w:rsidRPr="00BB4D81">
        <w:rPr>
          <w:rFonts w:ascii="Segoe UI" w:eastAsia="Calibri" w:hAnsi="Segoe UI" w:cs="Segoe UI"/>
          <w:sz w:val="20"/>
          <w:szCs w:val="20"/>
        </w:rPr>
        <w:t xml:space="preserve">(2/24) </w:t>
      </w:r>
      <w:r w:rsidRPr="00BB4D81">
        <w:rPr>
          <w:rFonts w:ascii="Segoe UI" w:eastAsia="Calibri" w:hAnsi="Segoe UI" w:cs="Segoe UI"/>
          <w:sz w:val="20"/>
          <w:szCs w:val="20"/>
        </w:rPr>
        <w:t xml:space="preserve">indicated that they had a system in place for the management of new / novel clinical indications.  17% </w:t>
      </w:r>
      <w:r w:rsidR="001C72B5" w:rsidRPr="00BB4D81">
        <w:rPr>
          <w:rFonts w:ascii="Segoe UI" w:eastAsia="Calibri" w:hAnsi="Segoe UI" w:cs="Segoe UI"/>
          <w:sz w:val="20"/>
          <w:szCs w:val="20"/>
        </w:rPr>
        <w:t xml:space="preserve">(4/24) </w:t>
      </w:r>
      <w:r w:rsidRPr="00BB4D81">
        <w:rPr>
          <w:rFonts w:ascii="Segoe UI" w:eastAsia="Calibri" w:hAnsi="Segoe UI" w:cs="Segoe UI"/>
          <w:sz w:val="20"/>
          <w:szCs w:val="20"/>
        </w:rPr>
        <w:t>indicate</w:t>
      </w:r>
      <w:r w:rsidR="00E3603F" w:rsidRPr="00BB4D81">
        <w:rPr>
          <w:rFonts w:ascii="Segoe UI" w:eastAsia="Calibri" w:hAnsi="Segoe UI" w:cs="Segoe UI"/>
          <w:sz w:val="20"/>
          <w:szCs w:val="20"/>
        </w:rPr>
        <w:t>d they had no system in place.  Additionally, t</w:t>
      </w:r>
      <w:r w:rsidRPr="00BB4D81">
        <w:rPr>
          <w:rFonts w:ascii="Segoe UI" w:eastAsia="Calibri" w:hAnsi="Segoe UI" w:cs="Segoe UI"/>
          <w:sz w:val="20"/>
          <w:szCs w:val="20"/>
        </w:rPr>
        <w:t>he survey results indicated that 61%</w:t>
      </w:r>
      <w:r w:rsidR="001C72B5" w:rsidRPr="00BB4D81">
        <w:rPr>
          <w:rFonts w:ascii="Segoe UI" w:eastAsia="Calibri" w:hAnsi="Segoe UI" w:cs="Segoe UI"/>
          <w:sz w:val="20"/>
          <w:szCs w:val="20"/>
        </w:rPr>
        <w:t xml:space="preserve"> (14/23)</w:t>
      </w:r>
      <w:r w:rsidRPr="00BB4D81">
        <w:rPr>
          <w:rFonts w:ascii="Segoe UI" w:eastAsia="Calibri" w:hAnsi="Segoe UI" w:cs="Segoe UI"/>
          <w:sz w:val="20"/>
          <w:szCs w:val="20"/>
        </w:rPr>
        <w:t xml:space="preserve"> of CAs did not define what constitutes a new or novel activity / product / process / clinical indication. </w:t>
      </w:r>
      <w:r w:rsidR="007D0060" w:rsidRPr="00BB4D81">
        <w:rPr>
          <w:rFonts w:ascii="Segoe UI" w:eastAsia="Calibri" w:hAnsi="Segoe UI" w:cs="Segoe UI"/>
          <w:sz w:val="20"/>
          <w:szCs w:val="20"/>
        </w:rPr>
        <w:t>Although 61%</w:t>
      </w:r>
      <w:r w:rsidR="00626BAD" w:rsidRPr="00BB4D81">
        <w:rPr>
          <w:rFonts w:ascii="Segoe UI" w:eastAsia="Calibri" w:hAnsi="Segoe UI" w:cs="Segoe UI"/>
          <w:sz w:val="20"/>
          <w:szCs w:val="20"/>
        </w:rPr>
        <w:t xml:space="preserve"> of respondents </w:t>
      </w:r>
      <w:r w:rsidR="007D0060" w:rsidRPr="00BB4D81">
        <w:rPr>
          <w:rFonts w:ascii="Segoe UI" w:eastAsia="Calibri" w:hAnsi="Segoe UI" w:cs="Segoe UI"/>
          <w:sz w:val="20"/>
          <w:szCs w:val="20"/>
        </w:rPr>
        <w:t>indicated that they did not define what constitutes a new or novel activity / product / process / clinical indication, it was indicated that the process for managing applications for authorisation of new or novel activities / products / processes / clinical indications</w:t>
      </w:r>
      <w:r w:rsidR="00626BAD" w:rsidRPr="00BB4D81">
        <w:rPr>
          <w:rFonts w:ascii="Segoe UI" w:eastAsia="Calibri" w:hAnsi="Segoe UI" w:cs="Segoe UI"/>
          <w:sz w:val="20"/>
          <w:szCs w:val="20"/>
        </w:rPr>
        <w:t xml:space="preserve"> linked to the inspection system in </w:t>
      </w:r>
      <w:r w:rsidR="007D0060" w:rsidRPr="00BB4D81">
        <w:rPr>
          <w:rFonts w:ascii="Segoe UI" w:eastAsia="Calibri" w:hAnsi="Segoe UI" w:cs="Segoe UI"/>
          <w:sz w:val="20"/>
          <w:szCs w:val="20"/>
        </w:rPr>
        <w:t xml:space="preserve">75% (18/24) </w:t>
      </w:r>
      <w:r w:rsidR="00626BAD" w:rsidRPr="00BB4D81">
        <w:rPr>
          <w:rFonts w:ascii="Segoe UI" w:eastAsia="Calibri" w:hAnsi="Segoe UI" w:cs="Segoe UI"/>
          <w:sz w:val="20"/>
          <w:szCs w:val="20"/>
        </w:rPr>
        <w:t>of CAs.</w:t>
      </w:r>
    </w:p>
    <w:p w14:paraId="0EAD7B0C" w14:textId="77777777" w:rsidR="007D1C92" w:rsidRPr="00BB4D81" w:rsidRDefault="007D1C92" w:rsidP="007D1C92">
      <w:pPr>
        <w:contextualSpacing/>
        <w:jc w:val="both"/>
        <w:rPr>
          <w:rFonts w:ascii="Segoe UI" w:eastAsia="Calibri" w:hAnsi="Segoe UI" w:cs="Segoe UI"/>
          <w:sz w:val="20"/>
          <w:szCs w:val="20"/>
        </w:rPr>
      </w:pPr>
    </w:p>
    <w:p w14:paraId="30563F19"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Where the term “new” may be well understood to simply be a new process / activity / indication / product for which a BE/TE is not previously authorised to perform; the term “novel” may be more challenging to define.</w:t>
      </w:r>
    </w:p>
    <w:p w14:paraId="77BF5D59" w14:textId="3E60C340"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 Examples for “novel” provide</w:t>
      </w:r>
      <w:r w:rsidR="005F0F28">
        <w:rPr>
          <w:rFonts w:ascii="Segoe UI" w:eastAsia="Calibri" w:hAnsi="Segoe UI" w:cs="Segoe UI"/>
          <w:sz w:val="20"/>
          <w:szCs w:val="20"/>
        </w:rPr>
        <w:t>d by MS CA respondents included:</w:t>
      </w:r>
    </w:p>
    <w:p w14:paraId="036D132D" w14:textId="3BE10BE6" w:rsidR="007D1C92" w:rsidRPr="00BB4D81" w:rsidRDefault="007D1C92" w:rsidP="00A01F03">
      <w:pPr>
        <w:numPr>
          <w:ilvl w:val="0"/>
          <w:numId w:val="30"/>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 process not yet well known or a product prepared by a new process, </w:t>
      </w:r>
    </w:p>
    <w:p w14:paraId="0A8551EF" w14:textId="77777777" w:rsidR="007D1C92" w:rsidRPr="00BB4D81" w:rsidRDefault="007D1C92" w:rsidP="00A01F03">
      <w:pPr>
        <w:numPr>
          <w:ilvl w:val="0"/>
          <w:numId w:val="30"/>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 new product when clinical application is not yet confirmed by sufficient clinical data, </w:t>
      </w:r>
    </w:p>
    <w:p w14:paraId="37A4F439" w14:textId="77777777" w:rsidR="007D1C92" w:rsidRPr="00BB4D81" w:rsidRDefault="007D1C92" w:rsidP="00A01F03">
      <w:pPr>
        <w:numPr>
          <w:ilvl w:val="0"/>
          <w:numId w:val="30"/>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a new product type, or indeed, any modification introducing an additional critical step in a process.</w:t>
      </w:r>
    </w:p>
    <w:p w14:paraId="4E3A039A" w14:textId="77777777" w:rsidR="007D1C92" w:rsidRPr="00BB4D81" w:rsidRDefault="007D1C92" w:rsidP="007D1C92">
      <w:pPr>
        <w:contextualSpacing/>
        <w:jc w:val="both"/>
        <w:rPr>
          <w:rFonts w:ascii="Segoe UI" w:eastAsia="Calibri" w:hAnsi="Segoe UI" w:cs="Segoe UI"/>
          <w:sz w:val="20"/>
          <w:szCs w:val="20"/>
        </w:rPr>
      </w:pPr>
    </w:p>
    <w:p w14:paraId="22A8FD12" w14:textId="0051471C"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As part of the PPA guidelines, it is foreseen to provide a definition of </w:t>
      </w:r>
      <w:r w:rsidR="00E3603F" w:rsidRPr="00BB4D81">
        <w:rPr>
          <w:rFonts w:ascii="Segoe UI" w:eastAsia="Calibri" w:hAnsi="Segoe UI" w:cs="Segoe UI"/>
          <w:sz w:val="20"/>
          <w:szCs w:val="20"/>
        </w:rPr>
        <w:t>novelty and</w:t>
      </w:r>
      <w:r w:rsidRPr="00BB4D81">
        <w:rPr>
          <w:rFonts w:ascii="Segoe UI" w:eastAsia="Calibri" w:hAnsi="Segoe UI" w:cs="Segoe UI"/>
          <w:sz w:val="20"/>
          <w:szCs w:val="20"/>
        </w:rPr>
        <w:t xml:space="preserve"> to outline the resulting actions for BE/TE and for MS CA’s in this regard. The following definition has been proposed: any change that could significantly affect the quality and/or safety of the blood, tissues and cells and/or the safety of recipients. This change includes a new procedure designed by the blood / tissue / cell establishment, a new procedure adopted from another centre that has shown scientific evidence or the application of the blood / tissue / cell to treat a new clinical indication.</w:t>
      </w:r>
    </w:p>
    <w:p w14:paraId="48015203" w14:textId="77777777" w:rsidR="007D1C92" w:rsidRPr="00BB4D81" w:rsidRDefault="007D1C92" w:rsidP="007D1C92">
      <w:pPr>
        <w:contextualSpacing/>
        <w:jc w:val="both"/>
        <w:rPr>
          <w:rFonts w:ascii="Segoe UI" w:eastAsia="Calibri" w:hAnsi="Segoe UI" w:cs="Segoe UI"/>
          <w:sz w:val="20"/>
          <w:szCs w:val="20"/>
        </w:rPr>
      </w:pPr>
    </w:p>
    <w:p w14:paraId="3E14CBB7" w14:textId="7415E657" w:rsidR="00CF0E86" w:rsidRPr="007857CF" w:rsidRDefault="00CF0E86" w:rsidP="007D1C92">
      <w:pPr>
        <w:rPr>
          <w:rFonts w:ascii="Segoe UI" w:eastAsia="Calibri" w:hAnsi="Segoe UI" w:cs="Segoe UI"/>
          <w:b/>
          <w:sz w:val="20"/>
          <w:szCs w:val="20"/>
        </w:rPr>
      </w:pPr>
      <w:r w:rsidRPr="007857CF">
        <w:rPr>
          <w:rFonts w:ascii="Segoe UI" w:eastAsia="Calibri" w:hAnsi="Segoe UI" w:cs="Segoe UI"/>
          <w:b/>
          <w:sz w:val="20"/>
          <w:szCs w:val="20"/>
        </w:rPr>
        <w:t xml:space="preserve">Novelty </w:t>
      </w:r>
      <w:r w:rsidR="00FD6EC4" w:rsidRPr="007857CF">
        <w:rPr>
          <w:rFonts w:ascii="Segoe UI" w:eastAsia="Calibri" w:hAnsi="Segoe UI" w:cs="Segoe UI"/>
          <w:b/>
          <w:sz w:val="20"/>
          <w:szCs w:val="20"/>
        </w:rPr>
        <w:t>-</w:t>
      </w:r>
      <w:r w:rsidRPr="007857CF">
        <w:rPr>
          <w:rFonts w:ascii="Segoe UI" w:eastAsia="Calibri" w:hAnsi="Segoe UI" w:cs="Segoe UI"/>
          <w:b/>
          <w:sz w:val="20"/>
          <w:szCs w:val="20"/>
        </w:rPr>
        <w:t xml:space="preserve"> Outputs from Previous European Projects</w:t>
      </w:r>
      <w:r w:rsidR="00345BDE" w:rsidRPr="007857CF">
        <w:rPr>
          <w:rFonts w:ascii="Segoe UI" w:eastAsia="Calibri" w:hAnsi="Segoe UI" w:cs="Segoe UI"/>
          <w:b/>
          <w:sz w:val="20"/>
          <w:szCs w:val="20"/>
        </w:rPr>
        <w:t>:</w:t>
      </w:r>
    </w:p>
    <w:p w14:paraId="75B418F3" w14:textId="1EFB3E60" w:rsidR="007D1C92" w:rsidRPr="007857CF" w:rsidRDefault="0093210F" w:rsidP="007D1C92">
      <w:pPr>
        <w:rPr>
          <w:rFonts w:ascii="Segoe UI" w:eastAsia="Calibri" w:hAnsi="Segoe UI" w:cs="Segoe UI"/>
          <w:b/>
          <w:sz w:val="20"/>
          <w:szCs w:val="20"/>
        </w:rPr>
      </w:pPr>
      <w:r w:rsidRPr="007857CF">
        <w:rPr>
          <w:rFonts w:ascii="Segoe UI" w:eastAsia="Calibri" w:hAnsi="Segoe UI" w:cs="Segoe UI"/>
          <w:b/>
          <w:sz w:val="20"/>
          <w:szCs w:val="20"/>
        </w:rPr>
        <w:t>EURO</w:t>
      </w:r>
      <w:r w:rsidR="007D1C92" w:rsidRPr="007857CF">
        <w:rPr>
          <w:rFonts w:ascii="Segoe UI" w:eastAsia="Calibri" w:hAnsi="Segoe UI" w:cs="Segoe UI"/>
          <w:b/>
          <w:sz w:val="20"/>
          <w:szCs w:val="20"/>
        </w:rPr>
        <w:t xml:space="preserve">GTP II EVALUATION OF NOVELTY  </w:t>
      </w:r>
    </w:p>
    <w:p w14:paraId="192E16A5" w14:textId="6864F3A1" w:rsidR="007D1C92" w:rsidRPr="00BB4D81" w:rsidRDefault="0093210F" w:rsidP="007D1C92">
      <w:pPr>
        <w:rPr>
          <w:rFonts w:ascii="Segoe UI" w:eastAsia="Calibri" w:hAnsi="Segoe UI" w:cs="Segoe UI"/>
          <w:sz w:val="20"/>
          <w:szCs w:val="20"/>
        </w:rPr>
      </w:pPr>
      <w:r>
        <w:rPr>
          <w:rFonts w:ascii="Segoe UI" w:eastAsia="Calibri" w:hAnsi="Segoe UI" w:cs="Segoe UI"/>
          <w:sz w:val="20"/>
          <w:szCs w:val="20"/>
        </w:rPr>
        <w:t>EURO</w:t>
      </w:r>
      <w:r w:rsidR="007D1C92" w:rsidRPr="00BB4D81">
        <w:rPr>
          <w:rFonts w:ascii="Segoe UI" w:eastAsia="Calibri" w:hAnsi="Segoe UI" w:cs="Segoe UI"/>
          <w:sz w:val="20"/>
          <w:szCs w:val="20"/>
        </w:rPr>
        <w:t>GTP II includes a consideration of novelty as part of the risk assessment process.</w:t>
      </w:r>
    </w:p>
    <w:p w14:paraId="18276EDE" w14:textId="60B6422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It is important that the definition of ‘novelty’ within the context of this pro</w:t>
      </w:r>
      <w:r w:rsidRPr="00BB4D81">
        <w:rPr>
          <w:rFonts w:ascii="Segoe UI" w:eastAsia="Calibri" w:hAnsi="Segoe UI" w:cs="Segoe UI"/>
          <w:sz w:val="20"/>
          <w:szCs w:val="20"/>
        </w:rPr>
        <w:softHyphen/>
        <w:t xml:space="preserve">cess is clearly established. It is not intended to encompass every change to a product or process, regardless of how minute the change is; rather it intends to capture any change that could </w:t>
      </w:r>
      <w:r w:rsidRPr="00BB4D81">
        <w:rPr>
          <w:rFonts w:ascii="Segoe UI" w:eastAsia="Calibri" w:hAnsi="Segoe UI" w:cs="Segoe UI"/>
          <w:sz w:val="20"/>
          <w:szCs w:val="20"/>
          <w:u w:val="single"/>
        </w:rPr>
        <w:t xml:space="preserve">significantly affect the quality and/or safety of the </w:t>
      </w:r>
      <w:r w:rsidR="006224EB">
        <w:rPr>
          <w:rFonts w:ascii="Segoe UI" w:eastAsia="Calibri" w:hAnsi="Segoe UI" w:cs="Segoe UI"/>
          <w:sz w:val="20"/>
          <w:szCs w:val="20"/>
          <w:u w:val="single"/>
        </w:rPr>
        <w:t>tissues and cellular therapy / product (</w:t>
      </w:r>
      <w:r w:rsidRPr="00BB4D81">
        <w:rPr>
          <w:rFonts w:ascii="Segoe UI" w:eastAsia="Calibri" w:hAnsi="Segoe UI" w:cs="Segoe UI"/>
          <w:sz w:val="20"/>
          <w:szCs w:val="20"/>
          <w:u w:val="single"/>
        </w:rPr>
        <w:t>TCTP</w:t>
      </w:r>
      <w:r w:rsidR="006224EB">
        <w:rPr>
          <w:rFonts w:ascii="Segoe UI" w:eastAsia="Calibri" w:hAnsi="Segoe UI" w:cs="Segoe UI"/>
          <w:sz w:val="20"/>
          <w:szCs w:val="20"/>
          <w:u w:val="single"/>
        </w:rPr>
        <w:t>)</w:t>
      </w:r>
      <w:r w:rsidRPr="00BB4D81">
        <w:rPr>
          <w:rFonts w:ascii="Segoe UI" w:eastAsia="Calibri" w:hAnsi="Segoe UI" w:cs="Segoe UI"/>
          <w:sz w:val="20"/>
          <w:szCs w:val="20"/>
          <w:u w:val="single"/>
        </w:rPr>
        <w:t xml:space="preserve"> and/or the safety of recipients. </w:t>
      </w:r>
      <w:r w:rsidRPr="00BB4D81">
        <w:rPr>
          <w:rFonts w:ascii="Segoe UI" w:eastAsia="Calibri" w:hAnsi="Segoe UI" w:cs="Segoe UI"/>
          <w:sz w:val="20"/>
          <w:szCs w:val="20"/>
        </w:rPr>
        <w:t xml:space="preserve">This is the first step of the novelty and risk evaluation process. </w:t>
      </w:r>
    </w:p>
    <w:p w14:paraId="3BD4F398" w14:textId="7D445B3D"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This assessment involves answering a series of seven ques</w:t>
      </w:r>
      <w:r w:rsidRPr="00BB4D81">
        <w:rPr>
          <w:rFonts w:ascii="Segoe UI" w:eastAsia="Calibri" w:hAnsi="Segoe UI" w:cs="Segoe UI"/>
          <w:sz w:val="20"/>
          <w:szCs w:val="20"/>
        </w:rPr>
        <w:softHyphen/>
        <w:t xml:space="preserve">tions, covering all aspects of TCTP, from donor selection to clinical application of the final product. If no novelty is identified (This process is discussed in detail in the Chapters 3 – Generic methodologies and tools, 4 – Tissues, 5 – HSC and 6 – ART), it can be concluded that there is no significant change or innovation in the TCTP being assessed and </w:t>
      </w:r>
      <w:r w:rsidR="00714470">
        <w:rPr>
          <w:rFonts w:ascii="Segoe UI" w:eastAsia="Calibri" w:hAnsi="Segoe UI" w:cs="Segoe UI"/>
          <w:sz w:val="20"/>
          <w:szCs w:val="20"/>
        </w:rPr>
        <w:t xml:space="preserve">the </w:t>
      </w:r>
      <w:r w:rsidRPr="00BB4D81">
        <w:rPr>
          <w:rFonts w:ascii="Segoe UI" w:eastAsia="Calibri" w:hAnsi="Segoe UI" w:cs="Segoe UI"/>
          <w:sz w:val="20"/>
          <w:szCs w:val="20"/>
        </w:rPr>
        <w:t xml:space="preserve">exercise ends at this point. </w:t>
      </w:r>
    </w:p>
    <w:p w14:paraId="7391E9DA"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noProof/>
          <w:sz w:val="20"/>
          <w:szCs w:val="20"/>
          <w:lang w:eastAsia="en-IE"/>
        </w:rPr>
        <w:drawing>
          <wp:inline distT="0" distB="0" distL="0" distR="0" wp14:anchorId="1081C12E" wp14:editId="5CDCC080">
            <wp:extent cx="5356860" cy="2788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6015" cy="2793050"/>
                    </a:xfrm>
                    <a:prstGeom prst="rect">
                      <a:avLst/>
                    </a:prstGeom>
                  </pic:spPr>
                </pic:pic>
              </a:graphicData>
            </a:graphic>
          </wp:inline>
        </w:drawing>
      </w:r>
    </w:p>
    <w:p w14:paraId="4347CC22" w14:textId="3E94BE62" w:rsidR="000245E3" w:rsidRPr="00BB4D81" w:rsidRDefault="000245E3"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Table </w:t>
      </w:r>
      <w:r w:rsidR="00EB4F53">
        <w:rPr>
          <w:rFonts w:ascii="Segoe UI" w:eastAsia="Calibri" w:hAnsi="Segoe UI" w:cs="Segoe UI"/>
          <w:sz w:val="20"/>
          <w:szCs w:val="20"/>
        </w:rPr>
        <w:t>8</w:t>
      </w:r>
      <w:r w:rsidRPr="00BB4D81">
        <w:rPr>
          <w:rFonts w:ascii="Segoe UI" w:eastAsia="Calibri" w:hAnsi="Segoe UI" w:cs="Segoe UI"/>
          <w:sz w:val="20"/>
          <w:szCs w:val="20"/>
        </w:rPr>
        <w:t xml:space="preserve">: </w:t>
      </w:r>
      <w:r w:rsidR="0093210F">
        <w:rPr>
          <w:rFonts w:ascii="Segoe UI" w:eastAsia="Calibri" w:hAnsi="Segoe UI" w:cs="Segoe UI"/>
          <w:sz w:val="20"/>
          <w:szCs w:val="20"/>
        </w:rPr>
        <w:t>EURO</w:t>
      </w:r>
      <w:r w:rsidRPr="00BB4D81">
        <w:rPr>
          <w:rFonts w:ascii="Segoe UI" w:eastAsia="Calibri" w:hAnsi="Segoe UI" w:cs="Segoe UI"/>
          <w:sz w:val="20"/>
          <w:szCs w:val="20"/>
        </w:rPr>
        <w:t>GTPII Evaluation of Novelty</w:t>
      </w:r>
    </w:p>
    <w:p w14:paraId="3FC55605" w14:textId="74282607" w:rsidR="007D1C92" w:rsidRPr="00BB4D81" w:rsidRDefault="007D1C92" w:rsidP="00736CDA">
      <w:pPr>
        <w:jc w:val="both"/>
        <w:rPr>
          <w:rFonts w:ascii="Segoe UI" w:eastAsia="Calibri" w:hAnsi="Segoe UI" w:cs="Segoe UI"/>
          <w:sz w:val="20"/>
          <w:szCs w:val="20"/>
        </w:rPr>
      </w:pPr>
      <w:r w:rsidRPr="00BB4D81">
        <w:rPr>
          <w:rFonts w:ascii="Segoe UI" w:eastAsia="Calibri" w:hAnsi="Segoe UI" w:cs="Segoe UI"/>
          <w:sz w:val="20"/>
          <w:szCs w:val="20"/>
        </w:rPr>
        <w:t>If it is established that a TCTP has significant novelty, then a systematic risk assessment must be undertaken to identify and quantify the risks associated with it. This must be a comprehensive process that considers all aspects of TCTP supply chain: from donor selection through to implantation or clinical application of the product or therapy. This is the second step of the novelty and risk evaluation process</w:t>
      </w:r>
    </w:p>
    <w:p w14:paraId="76215189" w14:textId="62E366A6" w:rsidR="007D1C92" w:rsidRPr="007857CF" w:rsidRDefault="00AA107C" w:rsidP="00736CDA">
      <w:pPr>
        <w:jc w:val="both"/>
        <w:rPr>
          <w:b/>
          <w:lang w:eastAsia="en-US"/>
        </w:rPr>
      </w:pPr>
      <w:r w:rsidRPr="007857CF">
        <w:rPr>
          <w:b/>
          <w:lang w:eastAsia="en-US"/>
        </w:rPr>
        <w:t xml:space="preserve">Novelty </w:t>
      </w:r>
      <w:r w:rsidR="00FD6EC4" w:rsidRPr="007857CF">
        <w:rPr>
          <w:b/>
          <w:lang w:eastAsia="en-US"/>
        </w:rPr>
        <w:t>-</w:t>
      </w:r>
      <w:r w:rsidRPr="007857CF">
        <w:rPr>
          <w:b/>
          <w:lang w:eastAsia="en-US"/>
        </w:rPr>
        <w:t xml:space="preserve"> Multi-Country Workshop</w:t>
      </w:r>
    </w:p>
    <w:p w14:paraId="216CB803" w14:textId="77777777" w:rsidR="0010485C" w:rsidRDefault="00D475F8" w:rsidP="00736CDA">
      <w:pPr>
        <w:jc w:val="both"/>
        <w:rPr>
          <w:rFonts w:ascii="Segoe UI" w:hAnsi="Segoe UI" w:cs="Segoe UI"/>
          <w:sz w:val="20"/>
          <w:szCs w:val="20"/>
          <w:lang w:eastAsia="en-US"/>
        </w:rPr>
      </w:pPr>
      <w:r w:rsidRPr="00BB4D81">
        <w:rPr>
          <w:rFonts w:ascii="Segoe UI" w:hAnsi="Segoe UI" w:cs="Segoe UI"/>
          <w:sz w:val="20"/>
          <w:szCs w:val="20"/>
          <w:lang w:eastAsia="en-US"/>
        </w:rPr>
        <w:t>It was d</w:t>
      </w:r>
      <w:r w:rsidR="000245E3" w:rsidRPr="00BB4D81">
        <w:rPr>
          <w:rFonts w:ascii="Segoe UI" w:hAnsi="Segoe UI" w:cs="Segoe UI"/>
          <w:sz w:val="20"/>
          <w:szCs w:val="20"/>
          <w:lang w:eastAsia="en-US"/>
        </w:rPr>
        <w:t>iscussed</w:t>
      </w:r>
      <w:r w:rsidRPr="00BB4D81">
        <w:rPr>
          <w:rFonts w:ascii="Segoe UI" w:hAnsi="Segoe UI" w:cs="Segoe UI"/>
          <w:sz w:val="20"/>
          <w:szCs w:val="20"/>
          <w:lang w:eastAsia="en-US"/>
        </w:rPr>
        <w:t xml:space="preserve"> at the multi-country workshops that a common definition of novelty should be agreed amongst CAs.</w:t>
      </w:r>
      <w:r w:rsidR="00315334" w:rsidRPr="00BB4D81">
        <w:rPr>
          <w:rFonts w:ascii="Segoe UI" w:hAnsi="Segoe UI" w:cs="Segoe UI"/>
          <w:sz w:val="20"/>
          <w:szCs w:val="20"/>
          <w:lang w:eastAsia="en-US"/>
        </w:rPr>
        <w:t xml:space="preserve"> </w:t>
      </w:r>
    </w:p>
    <w:p w14:paraId="32E15B77" w14:textId="6B5889BE" w:rsidR="00525169" w:rsidRPr="00BB4D81" w:rsidRDefault="008C44C2" w:rsidP="00736CDA">
      <w:pPr>
        <w:jc w:val="both"/>
        <w:rPr>
          <w:rFonts w:ascii="Segoe UI" w:hAnsi="Segoe UI" w:cs="Segoe UI"/>
          <w:sz w:val="20"/>
          <w:szCs w:val="20"/>
          <w:lang w:eastAsia="en-US"/>
        </w:rPr>
      </w:pPr>
      <w:r w:rsidRPr="00BB4D81">
        <w:rPr>
          <w:rFonts w:ascii="Segoe UI" w:hAnsi="Segoe UI" w:cs="Segoe UI"/>
          <w:sz w:val="20"/>
          <w:szCs w:val="20"/>
          <w:lang w:eastAsia="en-US"/>
        </w:rPr>
        <w:t>A proposed definition</w:t>
      </w:r>
      <w:r w:rsidR="0010485C">
        <w:rPr>
          <w:rFonts w:ascii="Segoe UI" w:hAnsi="Segoe UI" w:cs="Segoe UI"/>
          <w:sz w:val="20"/>
          <w:szCs w:val="20"/>
          <w:lang w:eastAsia="en-US"/>
        </w:rPr>
        <w:t xml:space="preserve"> based on the novelty definition proposed by EUROGTPII,</w:t>
      </w:r>
      <w:r w:rsidRPr="00BB4D81">
        <w:rPr>
          <w:rFonts w:ascii="Segoe UI" w:hAnsi="Segoe UI" w:cs="Segoe UI"/>
          <w:sz w:val="20"/>
          <w:szCs w:val="20"/>
          <w:lang w:eastAsia="en-US"/>
        </w:rPr>
        <w:t xml:space="preserve"> </w:t>
      </w:r>
      <w:r w:rsidR="00081256" w:rsidRPr="00BB4D81">
        <w:rPr>
          <w:rFonts w:ascii="Segoe UI" w:hAnsi="Segoe UI" w:cs="Segoe UI"/>
          <w:sz w:val="20"/>
          <w:szCs w:val="20"/>
          <w:lang w:eastAsia="en-US"/>
        </w:rPr>
        <w:t>was drafted</w:t>
      </w:r>
      <w:r w:rsidR="000245E3" w:rsidRPr="00BB4D81">
        <w:rPr>
          <w:rFonts w:ascii="Segoe UI" w:hAnsi="Segoe UI" w:cs="Segoe UI"/>
          <w:sz w:val="20"/>
          <w:szCs w:val="20"/>
          <w:lang w:eastAsia="en-US"/>
        </w:rPr>
        <w:t xml:space="preserve"> by WP5</w:t>
      </w:r>
      <w:r w:rsidR="00714470">
        <w:rPr>
          <w:rFonts w:ascii="Segoe UI" w:hAnsi="Segoe UI" w:cs="Segoe UI"/>
          <w:sz w:val="20"/>
          <w:szCs w:val="20"/>
          <w:lang w:eastAsia="en-US"/>
        </w:rPr>
        <w:t xml:space="preserve"> </w:t>
      </w:r>
      <w:r w:rsidR="0010485C">
        <w:rPr>
          <w:rFonts w:ascii="Segoe UI" w:hAnsi="Segoe UI" w:cs="Segoe UI"/>
          <w:sz w:val="20"/>
          <w:szCs w:val="20"/>
          <w:lang w:eastAsia="en-US"/>
        </w:rPr>
        <w:t>and presented to Work Package Leaders in May</w:t>
      </w:r>
      <w:r w:rsidR="00BB3F83">
        <w:rPr>
          <w:rFonts w:ascii="Segoe UI" w:hAnsi="Segoe UI" w:cs="Segoe UI"/>
          <w:sz w:val="20"/>
          <w:szCs w:val="20"/>
          <w:lang w:eastAsia="en-US"/>
        </w:rPr>
        <w:t xml:space="preserve"> 2020</w:t>
      </w:r>
      <w:r w:rsidR="0010485C">
        <w:rPr>
          <w:rFonts w:ascii="Segoe UI" w:hAnsi="Segoe UI" w:cs="Segoe UI"/>
          <w:sz w:val="20"/>
          <w:szCs w:val="20"/>
          <w:lang w:eastAsia="en-US"/>
        </w:rPr>
        <w:t>. The proposed defined is as follows and is subject to agreement:</w:t>
      </w:r>
      <w:r w:rsidR="000245E3" w:rsidRPr="00BB4D81">
        <w:rPr>
          <w:rFonts w:ascii="Segoe UI" w:hAnsi="Segoe UI" w:cs="Segoe UI"/>
          <w:sz w:val="20"/>
          <w:szCs w:val="20"/>
          <w:lang w:eastAsia="en-US"/>
        </w:rPr>
        <w:t xml:space="preserve"> </w:t>
      </w:r>
      <w:r w:rsidRPr="00BB4D81">
        <w:rPr>
          <w:rFonts w:ascii="Segoe UI" w:hAnsi="Segoe UI" w:cs="Segoe UI"/>
          <w:sz w:val="20"/>
          <w:szCs w:val="20"/>
          <w:lang w:eastAsia="en-US"/>
        </w:rPr>
        <w:t>‘a</w:t>
      </w:r>
      <w:r w:rsidR="00525169" w:rsidRPr="00BB4D81">
        <w:rPr>
          <w:rFonts w:ascii="Segoe UI" w:hAnsi="Segoe UI" w:cs="Segoe UI"/>
          <w:sz w:val="20"/>
          <w:szCs w:val="20"/>
          <w:lang w:eastAsia="en-US"/>
        </w:rPr>
        <w:t xml:space="preserve">ny change that could significantly affect the quality and/or the safety of the blood, tissues and cells and/or the safety of recipients. This change includes a new procedure designed by the BTC establishment, a new procedure adopted from another centre that has shown scientific evidence or the application of the BTC to </w:t>
      </w:r>
      <w:r w:rsidRPr="00BB4D81">
        <w:rPr>
          <w:rFonts w:ascii="Segoe UI" w:hAnsi="Segoe UI" w:cs="Segoe UI"/>
          <w:sz w:val="20"/>
          <w:szCs w:val="20"/>
          <w:lang w:eastAsia="en-US"/>
        </w:rPr>
        <w:t xml:space="preserve">treat a new clinical indication’. This definition will be circulated for comment to the </w:t>
      </w:r>
      <w:r w:rsidR="000245E3" w:rsidRPr="00BB4D81">
        <w:rPr>
          <w:rFonts w:ascii="Segoe UI" w:hAnsi="Segoe UI" w:cs="Segoe UI"/>
          <w:sz w:val="20"/>
          <w:szCs w:val="20"/>
          <w:lang w:eastAsia="en-US"/>
        </w:rPr>
        <w:t>GAPP</w:t>
      </w:r>
      <w:r w:rsidRPr="00BB4D81">
        <w:rPr>
          <w:rFonts w:ascii="Segoe UI" w:hAnsi="Segoe UI" w:cs="Segoe UI"/>
          <w:sz w:val="20"/>
          <w:szCs w:val="20"/>
          <w:lang w:eastAsia="en-US"/>
        </w:rPr>
        <w:t xml:space="preserve"> collaborating partners</w:t>
      </w:r>
      <w:r w:rsidR="000245E3" w:rsidRPr="00BB4D81">
        <w:rPr>
          <w:rFonts w:ascii="Segoe UI" w:hAnsi="Segoe UI" w:cs="Segoe UI"/>
          <w:sz w:val="20"/>
          <w:szCs w:val="20"/>
          <w:lang w:eastAsia="en-US"/>
        </w:rPr>
        <w:t xml:space="preserve"> for comment.</w:t>
      </w:r>
      <w:r w:rsidRPr="00BB4D81">
        <w:rPr>
          <w:rFonts w:ascii="Segoe UI" w:hAnsi="Segoe UI" w:cs="Segoe UI"/>
          <w:sz w:val="20"/>
          <w:szCs w:val="20"/>
          <w:lang w:eastAsia="en-US"/>
        </w:rPr>
        <w:t xml:space="preserve"> </w:t>
      </w:r>
    </w:p>
    <w:p w14:paraId="21A7563D" w14:textId="3ED9CBBB" w:rsidR="001D216E" w:rsidRPr="007857CF" w:rsidRDefault="007D1C92" w:rsidP="008F1340">
      <w:pPr>
        <w:pStyle w:val="Heading2"/>
        <w:numPr>
          <w:ilvl w:val="0"/>
          <w:numId w:val="3"/>
        </w:numPr>
        <w:rPr>
          <w:rFonts w:eastAsia="Times New Roman"/>
          <w:b/>
          <w:lang w:eastAsia="en-US"/>
        </w:rPr>
      </w:pPr>
      <w:bookmarkStart w:id="7" w:name="_Toc48388675"/>
      <w:r w:rsidRPr="007857CF">
        <w:rPr>
          <w:rFonts w:eastAsia="Times New Roman"/>
          <w:b/>
          <w:lang w:eastAsia="en-US"/>
        </w:rPr>
        <w:t xml:space="preserve">Part B - </w:t>
      </w:r>
      <w:r w:rsidR="00AD35E7" w:rsidRPr="007857CF">
        <w:rPr>
          <w:rFonts w:eastAsia="Times New Roman"/>
          <w:b/>
          <w:lang w:eastAsia="en-US"/>
        </w:rPr>
        <w:t>Application Process</w:t>
      </w:r>
      <w:bookmarkEnd w:id="7"/>
    </w:p>
    <w:p w14:paraId="2BA42F1D" w14:textId="5D7AC77C" w:rsidR="001D216E" w:rsidRPr="00BB4D81" w:rsidRDefault="001D216E" w:rsidP="001D216E">
      <w:pPr>
        <w:rPr>
          <w:lang w:eastAsia="en-US"/>
        </w:rPr>
      </w:pPr>
    </w:p>
    <w:p w14:paraId="0F6D2F54" w14:textId="194D98B3" w:rsidR="00FD6EC4" w:rsidRPr="007857CF" w:rsidRDefault="00FD6EC4" w:rsidP="007D1C92">
      <w:pPr>
        <w:jc w:val="both"/>
        <w:rPr>
          <w:rFonts w:ascii="Segoe UI" w:eastAsia="Calibri" w:hAnsi="Segoe UI" w:cs="Segoe UI"/>
          <w:b/>
          <w:sz w:val="20"/>
          <w:szCs w:val="20"/>
        </w:rPr>
      </w:pPr>
      <w:r w:rsidRPr="007857CF">
        <w:rPr>
          <w:rFonts w:ascii="Segoe UI" w:eastAsia="Calibri" w:hAnsi="Segoe UI" w:cs="Segoe UI"/>
          <w:b/>
          <w:sz w:val="20"/>
          <w:szCs w:val="20"/>
        </w:rPr>
        <w:t>Application Process – WP5 Survey</w:t>
      </w:r>
    </w:p>
    <w:p w14:paraId="4CEB7342" w14:textId="2FF970E8"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The survey </w:t>
      </w:r>
      <w:r w:rsidR="004152D4" w:rsidRPr="00BB4D81">
        <w:rPr>
          <w:rFonts w:ascii="Segoe UI" w:eastAsia="Calibri" w:hAnsi="Segoe UI" w:cs="Segoe UI"/>
          <w:sz w:val="20"/>
          <w:szCs w:val="20"/>
        </w:rPr>
        <w:t xml:space="preserve">was used to obtain </w:t>
      </w:r>
      <w:r w:rsidRPr="00BB4D81">
        <w:rPr>
          <w:rFonts w:ascii="Segoe UI" w:eastAsia="Calibri" w:hAnsi="Segoe UI" w:cs="Segoe UI"/>
          <w:sz w:val="20"/>
          <w:szCs w:val="20"/>
        </w:rPr>
        <w:t xml:space="preserve">some general information on the application process </w:t>
      </w:r>
      <w:r w:rsidR="004152D4" w:rsidRPr="00BB4D81">
        <w:rPr>
          <w:rFonts w:ascii="Segoe UI" w:eastAsia="Calibri" w:hAnsi="Segoe UI" w:cs="Segoe UI"/>
          <w:sz w:val="20"/>
          <w:szCs w:val="20"/>
        </w:rPr>
        <w:t xml:space="preserve">in existence in </w:t>
      </w:r>
      <w:r w:rsidRPr="00BB4D81">
        <w:rPr>
          <w:rFonts w:ascii="Segoe UI" w:eastAsia="Calibri" w:hAnsi="Segoe UI" w:cs="Segoe UI"/>
          <w:sz w:val="20"/>
          <w:szCs w:val="20"/>
        </w:rPr>
        <w:t>CAs.</w:t>
      </w:r>
    </w:p>
    <w:p w14:paraId="7FB19632" w14:textId="018E3079"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The survey indicated that majority of CAs, 80%, (16</w:t>
      </w:r>
      <w:r w:rsidR="00DB1C5B" w:rsidRPr="00BB4D81">
        <w:rPr>
          <w:rFonts w:ascii="Segoe UI" w:eastAsia="Calibri" w:hAnsi="Segoe UI" w:cs="Segoe UI"/>
          <w:sz w:val="20"/>
          <w:szCs w:val="20"/>
        </w:rPr>
        <w:t>/20</w:t>
      </w:r>
      <w:r w:rsidRPr="00BB4D81">
        <w:rPr>
          <w:rFonts w:ascii="Segoe UI" w:eastAsia="Calibri" w:hAnsi="Segoe UI" w:cs="Segoe UI"/>
          <w:sz w:val="20"/>
          <w:szCs w:val="20"/>
        </w:rPr>
        <w:t xml:space="preserve">) who responded to the survey, have guidance for blood and tissue establishments relating to the process of applying for authorisation. In </w:t>
      </w:r>
      <w:r w:rsidR="005647FB" w:rsidRPr="00BB4D81">
        <w:rPr>
          <w:rFonts w:ascii="Segoe UI" w:eastAsia="Calibri" w:hAnsi="Segoe UI" w:cs="Segoe UI"/>
          <w:sz w:val="20"/>
          <w:szCs w:val="20"/>
        </w:rPr>
        <w:t>addition,</w:t>
      </w:r>
      <w:r w:rsidRPr="00BB4D81">
        <w:rPr>
          <w:rFonts w:ascii="Segoe UI" w:eastAsia="Calibri" w:hAnsi="Segoe UI" w:cs="Segoe UI"/>
          <w:sz w:val="20"/>
          <w:szCs w:val="20"/>
        </w:rPr>
        <w:t xml:space="preserve"> it was indicated that 75% (15</w:t>
      </w:r>
      <w:r w:rsidR="00DB1C5B" w:rsidRPr="00BB4D81">
        <w:rPr>
          <w:rFonts w:ascii="Segoe UI" w:eastAsia="Calibri" w:hAnsi="Segoe UI" w:cs="Segoe UI"/>
          <w:sz w:val="20"/>
          <w:szCs w:val="20"/>
        </w:rPr>
        <w:t>/20</w:t>
      </w:r>
      <w:r w:rsidRPr="00BB4D81">
        <w:rPr>
          <w:rFonts w:ascii="Segoe UI" w:eastAsia="Calibri" w:hAnsi="Segoe UI" w:cs="Segoe UI"/>
          <w:sz w:val="20"/>
          <w:szCs w:val="20"/>
        </w:rPr>
        <w:t xml:space="preserve">) </w:t>
      </w:r>
      <w:r w:rsidR="005E68A1">
        <w:rPr>
          <w:rFonts w:ascii="Segoe UI" w:eastAsia="Calibri" w:hAnsi="Segoe UI" w:cs="Segoe UI"/>
          <w:sz w:val="20"/>
          <w:szCs w:val="20"/>
        </w:rPr>
        <w:t xml:space="preserve">of </w:t>
      </w:r>
      <w:r w:rsidRPr="00BB4D81">
        <w:rPr>
          <w:rFonts w:ascii="Segoe UI" w:eastAsia="Calibri" w:hAnsi="Segoe UI" w:cs="Segoe UI"/>
          <w:sz w:val="20"/>
          <w:szCs w:val="20"/>
        </w:rPr>
        <w:t>CAs have the requirements relating to applications for authorisation defined in legislation, 20% (4</w:t>
      </w:r>
      <w:r w:rsidR="00DB1C5B" w:rsidRPr="00BB4D81">
        <w:rPr>
          <w:rFonts w:ascii="Segoe UI" w:eastAsia="Calibri" w:hAnsi="Segoe UI" w:cs="Segoe UI"/>
          <w:sz w:val="20"/>
          <w:szCs w:val="20"/>
        </w:rPr>
        <w:t>/20</w:t>
      </w:r>
      <w:r w:rsidRPr="00BB4D81">
        <w:rPr>
          <w:rFonts w:ascii="Segoe UI" w:eastAsia="Calibri" w:hAnsi="Segoe UI" w:cs="Segoe UI"/>
          <w:sz w:val="20"/>
          <w:szCs w:val="20"/>
        </w:rPr>
        <w:t>) in national guidance, 5% (1</w:t>
      </w:r>
      <w:r w:rsidR="00DB1C5B" w:rsidRPr="00BB4D81">
        <w:rPr>
          <w:rFonts w:ascii="Segoe UI" w:eastAsia="Calibri" w:hAnsi="Segoe UI" w:cs="Segoe UI"/>
          <w:sz w:val="20"/>
          <w:szCs w:val="20"/>
        </w:rPr>
        <w:t>/20</w:t>
      </w:r>
      <w:r w:rsidRPr="00BB4D81">
        <w:rPr>
          <w:rFonts w:ascii="Segoe UI" w:eastAsia="Calibri" w:hAnsi="Segoe UI" w:cs="Segoe UI"/>
          <w:sz w:val="20"/>
          <w:szCs w:val="20"/>
        </w:rPr>
        <w:t>), in internal organisational policy and 15% (3</w:t>
      </w:r>
      <w:r w:rsidR="00DB1C5B" w:rsidRPr="00BB4D81">
        <w:rPr>
          <w:rFonts w:ascii="Segoe UI" w:eastAsia="Calibri" w:hAnsi="Segoe UI" w:cs="Segoe UI"/>
          <w:sz w:val="20"/>
          <w:szCs w:val="20"/>
        </w:rPr>
        <w:t>/20</w:t>
      </w:r>
      <w:r w:rsidRPr="00BB4D81">
        <w:rPr>
          <w:rFonts w:ascii="Segoe UI" w:eastAsia="Calibri" w:hAnsi="Segoe UI" w:cs="Segoe UI"/>
          <w:sz w:val="20"/>
          <w:szCs w:val="20"/>
        </w:rPr>
        <w:t xml:space="preserve">), were undefined. </w:t>
      </w:r>
    </w:p>
    <w:p w14:paraId="5ADBF998" w14:textId="1DCC757B"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The survey was also used to determine the extent of information that was generally required to be provided in support of an application and the level of related </w:t>
      </w:r>
      <w:r w:rsidR="005647FB" w:rsidRPr="00BB4D81">
        <w:rPr>
          <w:rFonts w:ascii="Segoe UI" w:eastAsia="Calibri" w:hAnsi="Segoe UI" w:cs="Segoe UI"/>
          <w:sz w:val="20"/>
          <w:szCs w:val="20"/>
        </w:rPr>
        <w:t>guidance, which</w:t>
      </w:r>
      <w:r w:rsidRPr="00BB4D81">
        <w:rPr>
          <w:rFonts w:ascii="Segoe UI" w:eastAsia="Calibri" w:hAnsi="Segoe UI" w:cs="Segoe UI"/>
          <w:sz w:val="20"/>
          <w:szCs w:val="20"/>
        </w:rPr>
        <w:t xml:space="preserve"> may be in place at Member State level. </w:t>
      </w:r>
    </w:p>
    <w:p w14:paraId="440318C1"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CAs were asked what information is required to be submitted in support of an application for authorisation. 20 respondents indicated the following answers:</w:t>
      </w:r>
    </w:p>
    <w:p w14:paraId="45D98A77"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noProof/>
          <w:sz w:val="20"/>
          <w:szCs w:val="20"/>
          <w:lang w:eastAsia="en-IE"/>
        </w:rPr>
        <w:drawing>
          <wp:inline distT="0" distB="0" distL="0" distR="0" wp14:anchorId="499A59E7" wp14:editId="4177D2AD">
            <wp:extent cx="5731510" cy="4093032"/>
            <wp:effectExtent l="0" t="0" r="2540" b="3175"/>
            <wp:docPr id="13" name="Picture 3" descr="table26044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494010.png"/>
                    <pic:cNvPicPr>
                      <a:picLocks noChangeAspect="1"/>
                    </pic:cNvPicPr>
                  </pic:nvPicPr>
                  <pic:blipFill>
                    <a:blip r:embed="rId11"/>
                    <a:stretch>
                      <a:fillRect/>
                    </a:stretch>
                  </pic:blipFill>
                  <pic:spPr>
                    <a:xfrm>
                      <a:off x="0" y="0"/>
                      <a:ext cx="5731510" cy="4093032"/>
                    </a:xfrm>
                    <a:prstGeom prst="rect">
                      <a:avLst/>
                    </a:prstGeom>
                  </pic:spPr>
                </pic:pic>
              </a:graphicData>
            </a:graphic>
          </wp:inline>
        </w:drawing>
      </w:r>
    </w:p>
    <w:p w14:paraId="45A1D5B7" w14:textId="7FC03FDF" w:rsidR="007D1C92" w:rsidRDefault="002A4213"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Table </w:t>
      </w:r>
      <w:r w:rsidR="00EB4F53">
        <w:rPr>
          <w:rFonts w:ascii="Segoe UI" w:eastAsia="Calibri" w:hAnsi="Segoe UI" w:cs="Segoe UI"/>
          <w:sz w:val="20"/>
          <w:szCs w:val="20"/>
        </w:rPr>
        <w:t>9</w:t>
      </w:r>
      <w:r w:rsidRPr="00BB4D81">
        <w:rPr>
          <w:rFonts w:ascii="Segoe UI" w:eastAsia="Calibri" w:hAnsi="Segoe UI" w:cs="Segoe UI"/>
          <w:sz w:val="20"/>
          <w:szCs w:val="20"/>
        </w:rPr>
        <w:t>: Survey responses in relation to what information is required to be submitted in support of an application for authorisation</w:t>
      </w:r>
    </w:p>
    <w:p w14:paraId="14FF3CEB" w14:textId="77777777" w:rsidR="002A4213" w:rsidRPr="00BB4D81" w:rsidRDefault="002A4213" w:rsidP="007D1C92">
      <w:pPr>
        <w:jc w:val="both"/>
        <w:rPr>
          <w:rFonts w:ascii="Segoe UI" w:eastAsia="Calibri" w:hAnsi="Segoe UI" w:cs="Segoe UI"/>
          <w:sz w:val="20"/>
          <w:szCs w:val="20"/>
        </w:rPr>
      </w:pPr>
    </w:p>
    <w:p w14:paraId="7675F463" w14:textId="29637A68" w:rsidR="004152D4" w:rsidRPr="007857CF" w:rsidRDefault="004152D4" w:rsidP="007D1C92">
      <w:pPr>
        <w:jc w:val="both"/>
        <w:rPr>
          <w:rFonts w:ascii="Segoe UI" w:eastAsia="Calibri" w:hAnsi="Segoe UI" w:cs="Segoe UI"/>
          <w:b/>
          <w:sz w:val="20"/>
          <w:szCs w:val="20"/>
        </w:rPr>
      </w:pPr>
      <w:r w:rsidRPr="007857CF">
        <w:rPr>
          <w:rFonts w:ascii="Segoe UI" w:eastAsia="Calibri" w:hAnsi="Segoe UI" w:cs="Segoe UI"/>
          <w:b/>
          <w:sz w:val="20"/>
          <w:szCs w:val="20"/>
        </w:rPr>
        <w:t>Application P</w:t>
      </w:r>
      <w:r w:rsidR="00FD6EC4" w:rsidRPr="007857CF">
        <w:rPr>
          <w:rFonts w:ascii="Segoe UI" w:eastAsia="Calibri" w:hAnsi="Segoe UI" w:cs="Segoe UI"/>
          <w:b/>
          <w:sz w:val="20"/>
          <w:szCs w:val="20"/>
        </w:rPr>
        <w:t>rocess -</w:t>
      </w:r>
      <w:r w:rsidRPr="007857CF">
        <w:rPr>
          <w:rFonts w:ascii="Segoe UI" w:eastAsia="Calibri" w:hAnsi="Segoe UI" w:cs="Segoe UI"/>
          <w:b/>
          <w:sz w:val="20"/>
          <w:szCs w:val="20"/>
        </w:rPr>
        <w:t xml:space="preserve"> Desk-Based Review:</w:t>
      </w:r>
    </w:p>
    <w:p w14:paraId="6C90A931" w14:textId="69FE33DA" w:rsidR="007D1C92" w:rsidRPr="00BB4D81" w:rsidRDefault="007D1C92" w:rsidP="007D1C92">
      <w:pPr>
        <w:jc w:val="both"/>
        <w:rPr>
          <w:rFonts w:ascii="Segoe UI" w:eastAsia="Calibri" w:hAnsi="Segoe UI" w:cs="Segoe UI"/>
          <w:sz w:val="20"/>
          <w:szCs w:val="20"/>
        </w:rPr>
      </w:pPr>
      <w:r w:rsidRPr="004E1E43">
        <w:rPr>
          <w:rFonts w:ascii="Segoe UI" w:eastAsia="Calibri" w:hAnsi="Segoe UI" w:cs="Segoe UI"/>
          <w:sz w:val="20"/>
          <w:szCs w:val="20"/>
        </w:rPr>
        <w:t>From the associated review of other framewo</w:t>
      </w:r>
      <w:r w:rsidR="009266B9" w:rsidRPr="004E1E43">
        <w:rPr>
          <w:rFonts w:ascii="Segoe UI" w:eastAsia="Calibri" w:hAnsi="Segoe UI" w:cs="Segoe UI"/>
          <w:sz w:val="20"/>
          <w:szCs w:val="20"/>
        </w:rPr>
        <w:t>rks – the following process was</w:t>
      </w:r>
      <w:r w:rsidRPr="004E1E43">
        <w:rPr>
          <w:rFonts w:ascii="Segoe UI" w:eastAsia="Calibri" w:hAnsi="Segoe UI" w:cs="Segoe UI"/>
          <w:sz w:val="20"/>
          <w:szCs w:val="20"/>
        </w:rPr>
        <w:t xml:space="preserve"> considered </w:t>
      </w:r>
      <w:r w:rsidR="005647FB" w:rsidRPr="004E1E43">
        <w:rPr>
          <w:rFonts w:ascii="Segoe UI" w:eastAsia="Calibri" w:hAnsi="Segoe UI" w:cs="Segoe UI"/>
          <w:sz w:val="20"/>
          <w:szCs w:val="20"/>
        </w:rPr>
        <w:t>the</w:t>
      </w:r>
      <w:r w:rsidRPr="004E1E43">
        <w:rPr>
          <w:rFonts w:ascii="Segoe UI" w:eastAsia="Calibri" w:hAnsi="Segoe UI" w:cs="Segoe UI"/>
          <w:sz w:val="20"/>
          <w:szCs w:val="20"/>
        </w:rPr>
        <w:t xml:space="preserve"> most relevant and the most applicable to </w:t>
      </w:r>
      <w:r w:rsidR="0001609F" w:rsidRPr="004E1E43">
        <w:rPr>
          <w:rFonts w:ascii="Segoe UI" w:eastAsia="Calibri" w:hAnsi="Segoe UI" w:cs="Segoe UI"/>
          <w:sz w:val="20"/>
          <w:szCs w:val="20"/>
        </w:rPr>
        <w:t xml:space="preserve">blood, </w:t>
      </w:r>
      <w:r w:rsidRPr="004E1E43">
        <w:rPr>
          <w:rFonts w:ascii="Segoe UI" w:eastAsia="Calibri" w:hAnsi="Segoe UI" w:cs="Segoe UI"/>
          <w:sz w:val="20"/>
          <w:szCs w:val="20"/>
        </w:rPr>
        <w:t>tissues and cells PPA:</w:t>
      </w:r>
    </w:p>
    <w:p w14:paraId="0AC54525" w14:textId="2F34AD05" w:rsidR="007D1C92" w:rsidRPr="007857CF" w:rsidRDefault="004E1E43" w:rsidP="007D1C92">
      <w:pPr>
        <w:widowControl w:val="0"/>
        <w:spacing w:before="36" w:after="0" w:line="246" w:lineRule="auto"/>
        <w:ind w:right="1153"/>
        <w:jc w:val="both"/>
        <w:rPr>
          <w:rFonts w:ascii="Segoe UI" w:eastAsia="Calibri" w:hAnsi="Segoe UI" w:cs="Segoe UI"/>
          <w:sz w:val="20"/>
          <w:szCs w:val="20"/>
          <w:vertAlign w:val="superscript"/>
        </w:rPr>
      </w:pPr>
      <w:r>
        <w:rPr>
          <w:rFonts w:ascii="Segoe UI" w:eastAsia="Times New Roman" w:hAnsi="Segoe UI" w:cs="Segoe UI"/>
          <w:w w:val="107"/>
          <w:sz w:val="20"/>
          <w:szCs w:val="20"/>
        </w:rPr>
        <w:t>The</w:t>
      </w:r>
      <w:r w:rsidR="007D1C92" w:rsidRPr="00BB4D81">
        <w:rPr>
          <w:rFonts w:ascii="Segoe UI" w:eastAsia="Times New Roman" w:hAnsi="Segoe UI" w:cs="Segoe UI"/>
          <w:w w:val="107"/>
          <w:sz w:val="20"/>
          <w:szCs w:val="20"/>
        </w:rPr>
        <w:t xml:space="preserve"> </w:t>
      </w:r>
      <w:r w:rsidR="007D1C92" w:rsidRPr="00BB4D81">
        <w:rPr>
          <w:rFonts w:ascii="Segoe UI" w:eastAsia="Times New Roman" w:hAnsi="Segoe UI" w:cs="Segoe UI"/>
          <w:w w:val="105"/>
          <w:sz w:val="20"/>
          <w:szCs w:val="20"/>
        </w:rPr>
        <w:t xml:space="preserve">‘Common Technical Document for the Registration of Pharmaceuticals for Human Use’ (CTD). </w:t>
      </w:r>
      <w:r>
        <w:rPr>
          <w:rFonts w:ascii="Segoe UI" w:eastAsia="Times New Roman" w:hAnsi="Segoe UI" w:cs="Segoe UI"/>
          <w:w w:val="105"/>
          <w:sz w:val="20"/>
          <w:szCs w:val="20"/>
        </w:rPr>
        <w:t xml:space="preserve"> </w:t>
      </w:r>
      <w:r w:rsidR="007D1C92" w:rsidRPr="00BB4D81">
        <w:rPr>
          <w:rFonts w:ascii="Segoe UI" w:eastAsia="Times New Roman" w:hAnsi="Segoe UI" w:cs="Segoe UI"/>
          <w:w w:val="105"/>
          <w:sz w:val="20"/>
          <w:szCs w:val="20"/>
        </w:rPr>
        <w:t xml:space="preserve">This document </w:t>
      </w:r>
      <w:r w:rsidR="007D1C92" w:rsidRPr="00BB4D81">
        <w:rPr>
          <w:rFonts w:ascii="Segoe UI" w:eastAsia="Calibri" w:hAnsi="Segoe UI" w:cs="Segoe UI"/>
          <w:sz w:val="20"/>
          <w:szCs w:val="20"/>
        </w:rPr>
        <w:t>was designed to provide a common format between</w:t>
      </w:r>
      <w:r w:rsidR="007D1C92" w:rsidRPr="00BB4D81">
        <w:rPr>
          <w:rFonts w:ascii="Segoe UI" w:eastAsia="Times New Roman" w:hAnsi="Segoe UI" w:cs="Segoe UI"/>
          <w:sz w:val="20"/>
          <w:szCs w:val="20"/>
        </w:rPr>
        <w:t xml:space="preserve"> </w:t>
      </w:r>
      <w:r w:rsidR="007D1C92" w:rsidRPr="00BB4D81">
        <w:rPr>
          <w:rFonts w:ascii="Segoe UI" w:eastAsia="Calibri" w:hAnsi="Segoe UI" w:cs="Segoe UI"/>
          <w:sz w:val="20"/>
          <w:szCs w:val="20"/>
        </w:rPr>
        <w:t>Europe, USA, and Japan for the technical documentation included in an application for the registration of a human pharmaceutical product.</w:t>
      </w:r>
      <w:r w:rsidR="00CD6193">
        <w:rPr>
          <w:rFonts w:ascii="Segoe UI" w:eastAsia="Calibri" w:hAnsi="Segoe UI" w:cs="Segoe UI"/>
          <w:sz w:val="20"/>
          <w:szCs w:val="20"/>
        </w:rPr>
        <w:t xml:space="preserve"> </w:t>
      </w:r>
      <w:r w:rsidR="00CD6193" w:rsidRPr="007857CF">
        <w:rPr>
          <w:rFonts w:ascii="Segoe UI" w:eastAsia="Calibri" w:hAnsi="Segoe UI" w:cs="Segoe UI"/>
          <w:sz w:val="20"/>
          <w:szCs w:val="20"/>
          <w:vertAlign w:val="superscript"/>
        </w:rPr>
        <w:t>29, 30, 35, 36</w:t>
      </w:r>
    </w:p>
    <w:p w14:paraId="4CFA58C2" w14:textId="77777777" w:rsidR="007D1C92" w:rsidRPr="00BB4D81" w:rsidRDefault="007D1C92" w:rsidP="007D1C92">
      <w:pPr>
        <w:widowControl w:val="0"/>
        <w:spacing w:before="36" w:after="0" w:line="246" w:lineRule="auto"/>
        <w:ind w:right="1153"/>
        <w:rPr>
          <w:rFonts w:ascii="Segoe UI" w:eastAsia="Times New Roman" w:hAnsi="Segoe UI" w:cs="Segoe UI"/>
          <w:sz w:val="20"/>
          <w:szCs w:val="20"/>
        </w:rPr>
      </w:pPr>
    </w:p>
    <w:p w14:paraId="3B2BECC8" w14:textId="77777777" w:rsidR="007D1C92" w:rsidRPr="00BB4D81" w:rsidRDefault="007D1C92" w:rsidP="007D1C92">
      <w:pPr>
        <w:rPr>
          <w:rFonts w:ascii="Segoe UI" w:eastAsia="Calibri" w:hAnsi="Segoe UI" w:cs="Segoe UI"/>
          <w:sz w:val="20"/>
          <w:szCs w:val="20"/>
        </w:rPr>
      </w:pPr>
      <w:r w:rsidRPr="00BB4D81">
        <w:rPr>
          <w:rFonts w:ascii="Segoe UI" w:eastAsia="Calibri" w:hAnsi="Segoe UI" w:cs="Segoe UI"/>
          <w:sz w:val="20"/>
          <w:szCs w:val="20"/>
        </w:rPr>
        <w:t xml:space="preserve">The CTD   dossier is divided into five main modules: </w:t>
      </w:r>
    </w:p>
    <w:p w14:paraId="1F279A7C" w14:textId="77777777" w:rsidR="007D1C92" w:rsidRPr="00BB4D81" w:rsidRDefault="007D1C92" w:rsidP="007D1C92">
      <w:pPr>
        <w:tabs>
          <w:tab w:val="right" w:pos="9026"/>
        </w:tabs>
        <w:rPr>
          <w:rFonts w:ascii="Segoe UI" w:eastAsia="Calibri" w:hAnsi="Segoe UI" w:cs="Segoe UI"/>
          <w:sz w:val="20"/>
          <w:szCs w:val="20"/>
        </w:rPr>
      </w:pPr>
      <w:r w:rsidRPr="00BB4D81">
        <w:rPr>
          <w:rFonts w:ascii="Segoe UI" w:eastAsia="Calibri" w:hAnsi="Segoe UI" w:cs="Segoe UI"/>
          <w:sz w:val="20"/>
          <w:szCs w:val="20"/>
        </w:rPr>
        <w:t xml:space="preserve">Module1 – Administrative information and prescribing information; </w:t>
      </w:r>
      <w:r w:rsidRPr="00BB4D81">
        <w:rPr>
          <w:rFonts w:ascii="Segoe UI" w:eastAsia="Calibri" w:hAnsi="Segoe UI" w:cs="Segoe UI"/>
          <w:sz w:val="20"/>
          <w:szCs w:val="20"/>
        </w:rPr>
        <w:tab/>
      </w:r>
    </w:p>
    <w:p w14:paraId="4D5E5B1E" w14:textId="77777777" w:rsidR="007D1C92" w:rsidRPr="00BB4D81" w:rsidRDefault="007D1C92" w:rsidP="007D1C92">
      <w:pPr>
        <w:rPr>
          <w:rFonts w:ascii="Segoe UI" w:eastAsia="Calibri" w:hAnsi="Segoe UI" w:cs="Segoe UI"/>
          <w:sz w:val="20"/>
          <w:szCs w:val="20"/>
        </w:rPr>
      </w:pPr>
      <w:r w:rsidRPr="00BB4D81">
        <w:rPr>
          <w:rFonts w:ascii="Segoe UI" w:eastAsia="Calibri" w:hAnsi="Segoe UI" w:cs="Segoe UI"/>
          <w:sz w:val="20"/>
          <w:szCs w:val="20"/>
        </w:rPr>
        <w:t>Module 2 – Overviews and summaries of Modules 3–5;</w:t>
      </w:r>
    </w:p>
    <w:p w14:paraId="37DA6018" w14:textId="77777777" w:rsidR="007D1C92" w:rsidRPr="00BB4D81" w:rsidRDefault="007D1C92" w:rsidP="007D1C92">
      <w:pPr>
        <w:rPr>
          <w:rFonts w:ascii="Segoe UI" w:eastAsia="Calibri" w:hAnsi="Segoe UI" w:cs="Segoe UI"/>
          <w:sz w:val="20"/>
          <w:szCs w:val="20"/>
        </w:rPr>
      </w:pPr>
      <w:r w:rsidRPr="00BB4D81">
        <w:rPr>
          <w:rFonts w:ascii="Segoe UI" w:eastAsia="Calibri" w:hAnsi="Segoe UI" w:cs="Segoe UI"/>
          <w:sz w:val="20"/>
          <w:szCs w:val="20"/>
        </w:rPr>
        <w:t xml:space="preserve">Module 3 – Quality (pharmaceutical documentation); </w:t>
      </w:r>
    </w:p>
    <w:p w14:paraId="4FA55C86" w14:textId="77777777" w:rsidR="007D1C92" w:rsidRPr="00BB4D81" w:rsidRDefault="007D1C92" w:rsidP="007D1C92">
      <w:pPr>
        <w:rPr>
          <w:rFonts w:ascii="Segoe UI" w:eastAsia="Calibri" w:hAnsi="Segoe UI" w:cs="Segoe UI"/>
          <w:sz w:val="20"/>
          <w:szCs w:val="20"/>
        </w:rPr>
      </w:pPr>
      <w:r w:rsidRPr="00BB4D81">
        <w:rPr>
          <w:rFonts w:ascii="Segoe UI" w:eastAsia="Calibri" w:hAnsi="Segoe UI" w:cs="Segoe UI"/>
          <w:sz w:val="20"/>
          <w:szCs w:val="20"/>
        </w:rPr>
        <w:t xml:space="preserve">Module 4: Non-clinical reports (pharmacology/toxicology); </w:t>
      </w:r>
    </w:p>
    <w:p w14:paraId="15DB586C" w14:textId="77777777" w:rsidR="007D1C92" w:rsidRPr="00BB4D81" w:rsidRDefault="007D1C92" w:rsidP="007D1C92">
      <w:pPr>
        <w:rPr>
          <w:rFonts w:ascii="Segoe UI" w:eastAsia="Calibri" w:hAnsi="Segoe UI" w:cs="Segoe UI"/>
          <w:sz w:val="20"/>
          <w:szCs w:val="20"/>
        </w:rPr>
      </w:pPr>
      <w:r w:rsidRPr="00BB4D81">
        <w:rPr>
          <w:rFonts w:ascii="Segoe UI" w:eastAsia="Calibri" w:hAnsi="Segoe UI" w:cs="Segoe UI"/>
          <w:sz w:val="20"/>
          <w:szCs w:val="20"/>
        </w:rPr>
        <w:t xml:space="preserve">Module 5: Clinical study reports (clinical trials). </w:t>
      </w:r>
    </w:p>
    <w:p w14:paraId="036A3B5D"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Detailed guidelines are provided describing the content of each module and the majority of submissions must now follow the CTD format for submission dossiers.</w:t>
      </w:r>
    </w:p>
    <w:p w14:paraId="1D742286"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The CTD drives an unambiguous and transparent application process with defined requirements for the: </w:t>
      </w:r>
    </w:p>
    <w:p w14:paraId="0B5D29F4" w14:textId="77777777" w:rsidR="007D1C92" w:rsidRPr="00BB4D81" w:rsidRDefault="007D1C92" w:rsidP="00A01F03">
      <w:pPr>
        <w:numPr>
          <w:ilvl w:val="0"/>
          <w:numId w:val="31"/>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Format and content of dossiers</w:t>
      </w:r>
    </w:p>
    <w:p w14:paraId="101F1CC2" w14:textId="77777777" w:rsidR="007D1C92" w:rsidRPr="00BB4D81" w:rsidRDefault="007D1C92" w:rsidP="00A01F03">
      <w:pPr>
        <w:numPr>
          <w:ilvl w:val="0"/>
          <w:numId w:val="31"/>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The associated  technical and science requirements</w:t>
      </w:r>
    </w:p>
    <w:p w14:paraId="149EEAE9" w14:textId="77777777" w:rsidR="007D1C92" w:rsidRPr="00BB4D81" w:rsidRDefault="007D1C92" w:rsidP="007D1C92">
      <w:pPr>
        <w:rPr>
          <w:rFonts w:ascii="Segoe UI" w:eastAsia="Calibri" w:hAnsi="Segoe UI" w:cs="Segoe UI"/>
          <w:sz w:val="20"/>
          <w:szCs w:val="20"/>
        </w:rPr>
      </w:pPr>
    </w:p>
    <w:p w14:paraId="2FA6BB78" w14:textId="7A0DACFC" w:rsidR="007D1C92" w:rsidRPr="00BB4D81" w:rsidRDefault="004152D4" w:rsidP="007D1C92">
      <w:pPr>
        <w:rPr>
          <w:rFonts w:ascii="Segoe UI" w:eastAsia="Calibri" w:hAnsi="Segoe UI" w:cs="Segoe UI"/>
          <w:sz w:val="20"/>
          <w:szCs w:val="20"/>
        </w:rPr>
      </w:pPr>
      <w:r w:rsidRPr="00BB4D81">
        <w:rPr>
          <w:rFonts w:ascii="Segoe UI" w:eastAsia="Calibri" w:hAnsi="Segoe UI" w:cs="Segoe UI"/>
          <w:sz w:val="20"/>
          <w:szCs w:val="20"/>
        </w:rPr>
        <w:t xml:space="preserve">This approach </w:t>
      </w:r>
      <w:r w:rsidR="007D1C92" w:rsidRPr="00BB4D81">
        <w:rPr>
          <w:rFonts w:ascii="Segoe UI" w:eastAsia="Calibri" w:hAnsi="Segoe UI" w:cs="Segoe UI"/>
          <w:sz w:val="20"/>
          <w:szCs w:val="20"/>
        </w:rPr>
        <w:t>therefore drives standardised assessment and review practices also.</w:t>
      </w:r>
    </w:p>
    <w:p w14:paraId="2A72C7BB" w14:textId="12067864" w:rsidR="007D1C92" w:rsidRPr="00BB4D81" w:rsidRDefault="005647FB" w:rsidP="007D1C92">
      <w:pPr>
        <w:rPr>
          <w:rFonts w:ascii="Segoe UI" w:eastAsia="Calibri" w:hAnsi="Segoe UI" w:cs="Segoe UI"/>
          <w:sz w:val="20"/>
          <w:szCs w:val="20"/>
        </w:rPr>
      </w:pPr>
      <w:r w:rsidRPr="00BB4D81">
        <w:rPr>
          <w:rFonts w:ascii="Segoe UI" w:eastAsia="Calibri" w:hAnsi="Segoe UI" w:cs="Segoe UI"/>
          <w:sz w:val="20"/>
          <w:szCs w:val="20"/>
        </w:rPr>
        <w:t>E.g.</w:t>
      </w:r>
      <w:r w:rsidR="007D1C92" w:rsidRPr="00BB4D81">
        <w:rPr>
          <w:rFonts w:ascii="Segoe UI" w:eastAsia="Calibri" w:hAnsi="Segoe UI" w:cs="Segoe UI"/>
          <w:sz w:val="20"/>
          <w:szCs w:val="20"/>
        </w:rPr>
        <w:t xml:space="preserve"> for pharmaceuticals, </w:t>
      </w:r>
    </w:p>
    <w:p w14:paraId="1065224F" w14:textId="77777777" w:rsidR="007D1C92" w:rsidRPr="00BB4D81" w:rsidRDefault="007D1C92" w:rsidP="00A01F03">
      <w:pPr>
        <w:numPr>
          <w:ilvl w:val="0"/>
          <w:numId w:val="33"/>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Efficacy - 15 topic headings/19 guidelines</w:t>
      </w:r>
    </w:p>
    <w:p w14:paraId="12E1EE38" w14:textId="77777777" w:rsidR="007D1C92" w:rsidRPr="00BB4D81" w:rsidRDefault="007D1C92" w:rsidP="00A01F03">
      <w:pPr>
        <w:numPr>
          <w:ilvl w:val="0"/>
          <w:numId w:val="33"/>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Safety - 9 topic headings/14 guidelines</w:t>
      </w:r>
    </w:p>
    <w:p w14:paraId="007C92B2" w14:textId="77777777" w:rsidR="007D1C92" w:rsidRPr="00BB4D81" w:rsidRDefault="007D1C92" w:rsidP="00A01F03">
      <w:pPr>
        <w:numPr>
          <w:ilvl w:val="0"/>
          <w:numId w:val="33"/>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Quality - 10 topic headings/33 guidelines</w:t>
      </w:r>
    </w:p>
    <w:p w14:paraId="46145A8E" w14:textId="77777777" w:rsidR="007D1C92" w:rsidRPr="00BB4D81" w:rsidRDefault="007D1C92" w:rsidP="007D1C92">
      <w:pPr>
        <w:rPr>
          <w:rFonts w:ascii="Segoe UI" w:eastAsia="Calibri" w:hAnsi="Segoe UI" w:cs="Segoe UI"/>
          <w:sz w:val="20"/>
          <w:szCs w:val="20"/>
        </w:rPr>
      </w:pPr>
    </w:p>
    <w:p w14:paraId="15E2D3A7" w14:textId="77777777" w:rsidR="007D1C92" w:rsidRPr="00BB4D81" w:rsidRDefault="007D1C92" w:rsidP="007D1C92">
      <w:pPr>
        <w:rPr>
          <w:rFonts w:ascii="Segoe UI" w:eastAsia="Calibri" w:hAnsi="Segoe UI" w:cs="Segoe UI"/>
          <w:sz w:val="20"/>
          <w:szCs w:val="20"/>
        </w:rPr>
      </w:pPr>
      <w:r w:rsidRPr="00BB4D81">
        <w:rPr>
          <w:rFonts w:ascii="Segoe UI" w:eastAsia="Calibri" w:hAnsi="Segoe UI" w:cs="Segoe UI"/>
          <w:sz w:val="20"/>
          <w:szCs w:val="20"/>
        </w:rPr>
        <w:t xml:space="preserve">The CTD format has many clear benefits: </w:t>
      </w:r>
    </w:p>
    <w:p w14:paraId="39DE7959" w14:textId="77777777" w:rsidR="007D1C92" w:rsidRPr="00BB4D81" w:rsidRDefault="007D1C92" w:rsidP="00A01F03">
      <w:pPr>
        <w:numPr>
          <w:ilvl w:val="0"/>
          <w:numId w:val="34"/>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Follows development scheme (process lifecycle)</w:t>
      </w:r>
    </w:p>
    <w:p w14:paraId="26E21058" w14:textId="77777777" w:rsidR="007D1C92" w:rsidRPr="00BB4D81" w:rsidRDefault="007D1C92" w:rsidP="00A01F03">
      <w:pPr>
        <w:numPr>
          <w:ilvl w:val="0"/>
          <w:numId w:val="34"/>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Provides a logical order for the presentation of information</w:t>
      </w:r>
    </w:p>
    <w:p w14:paraId="4999BE9C" w14:textId="77777777" w:rsidR="007D1C92" w:rsidRPr="00BB4D81" w:rsidRDefault="007D1C92" w:rsidP="00A01F03">
      <w:pPr>
        <w:numPr>
          <w:ilvl w:val="0"/>
          <w:numId w:val="32"/>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Imposes a logic to the review process by shaping both the conduct of the review and the presentation of the results of the review</w:t>
      </w:r>
    </w:p>
    <w:p w14:paraId="2A323AD1" w14:textId="77777777" w:rsidR="007D1C92" w:rsidRPr="00BB4D81" w:rsidRDefault="007D1C92" w:rsidP="00A01F03">
      <w:pPr>
        <w:numPr>
          <w:ilvl w:val="0"/>
          <w:numId w:val="32"/>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Facilitates easier analysis across applications</w:t>
      </w:r>
    </w:p>
    <w:p w14:paraId="64073D17" w14:textId="77777777" w:rsidR="007D1C92" w:rsidRPr="00BB4D81" w:rsidRDefault="007D1C92" w:rsidP="00A01F03">
      <w:pPr>
        <w:numPr>
          <w:ilvl w:val="0"/>
          <w:numId w:val="32"/>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Facilitates easier exchange of information</w:t>
      </w:r>
    </w:p>
    <w:p w14:paraId="04BF7B0B" w14:textId="77777777" w:rsidR="007D1C92" w:rsidRPr="00BB4D81" w:rsidRDefault="007D1C92" w:rsidP="00A01F03">
      <w:pPr>
        <w:numPr>
          <w:ilvl w:val="0"/>
          <w:numId w:val="32"/>
        </w:numPr>
        <w:spacing w:line="259" w:lineRule="auto"/>
        <w:contextualSpacing/>
        <w:rPr>
          <w:rFonts w:ascii="Segoe UI" w:eastAsia="Calibri" w:hAnsi="Segoe UI" w:cs="Segoe UI"/>
          <w:sz w:val="20"/>
          <w:szCs w:val="20"/>
        </w:rPr>
      </w:pPr>
      <w:r w:rsidRPr="00BB4D81">
        <w:rPr>
          <w:rFonts w:ascii="Segoe UI" w:eastAsia="Calibri" w:hAnsi="Segoe UI" w:cs="Segoe UI"/>
          <w:sz w:val="20"/>
          <w:szCs w:val="20"/>
        </w:rPr>
        <w:t>Facilitates electronic submissions.</w:t>
      </w:r>
    </w:p>
    <w:p w14:paraId="40E006C0" w14:textId="77777777" w:rsidR="007D1C92" w:rsidRPr="00BB4D81" w:rsidRDefault="007D1C92" w:rsidP="007D1C92">
      <w:pPr>
        <w:jc w:val="both"/>
        <w:rPr>
          <w:rFonts w:ascii="Segoe UI" w:eastAsia="Calibri" w:hAnsi="Segoe UI" w:cs="Segoe UI"/>
          <w:bCs/>
          <w:sz w:val="20"/>
          <w:szCs w:val="20"/>
        </w:rPr>
      </w:pPr>
    </w:p>
    <w:p w14:paraId="6D6FBE9A" w14:textId="7FE85232" w:rsidR="007D1C92" w:rsidRPr="00BB4D81" w:rsidRDefault="007D1C92" w:rsidP="007D1C92">
      <w:pPr>
        <w:jc w:val="both"/>
        <w:rPr>
          <w:rFonts w:ascii="Segoe UI" w:eastAsia="Calibri" w:hAnsi="Segoe UI" w:cs="Segoe UI"/>
          <w:bCs/>
          <w:sz w:val="20"/>
          <w:szCs w:val="20"/>
        </w:rPr>
      </w:pPr>
      <w:r w:rsidRPr="00BB4D81">
        <w:rPr>
          <w:rFonts w:ascii="Segoe UI" w:eastAsia="Calibri" w:hAnsi="Segoe UI" w:cs="Segoe UI"/>
          <w:bCs/>
          <w:sz w:val="20"/>
          <w:szCs w:val="20"/>
        </w:rPr>
        <w:t xml:space="preserve">Two useful documents which help to further align the CTD format more towards the Tissues and Cells field </w:t>
      </w:r>
      <w:r w:rsidR="00315334" w:rsidRPr="00BB4D81">
        <w:rPr>
          <w:rFonts w:ascii="Segoe UI" w:eastAsia="Calibri" w:hAnsi="Segoe UI" w:cs="Segoe UI"/>
          <w:bCs/>
          <w:sz w:val="20"/>
          <w:szCs w:val="20"/>
        </w:rPr>
        <w:t>wer</w:t>
      </w:r>
      <w:r w:rsidRPr="00BB4D81">
        <w:rPr>
          <w:rFonts w:ascii="Segoe UI" w:eastAsia="Calibri" w:hAnsi="Segoe UI" w:cs="Segoe UI"/>
          <w:bCs/>
          <w:sz w:val="20"/>
          <w:szCs w:val="20"/>
        </w:rPr>
        <w:t>e:</w:t>
      </w:r>
    </w:p>
    <w:p w14:paraId="72F00564" w14:textId="75931633" w:rsidR="007D1C92" w:rsidRPr="007857CF" w:rsidRDefault="007D1C92" w:rsidP="007D1C92">
      <w:pPr>
        <w:jc w:val="both"/>
        <w:rPr>
          <w:rFonts w:ascii="Segoe UI" w:eastAsia="Calibri" w:hAnsi="Segoe UI" w:cs="Segoe UI"/>
          <w:bCs/>
          <w:sz w:val="20"/>
          <w:szCs w:val="20"/>
          <w:vertAlign w:val="superscript"/>
        </w:rPr>
      </w:pPr>
      <w:r w:rsidRPr="00BB4D81">
        <w:rPr>
          <w:rFonts w:ascii="Segoe UI" w:eastAsia="Calibri" w:hAnsi="Segoe UI" w:cs="Segoe UI"/>
          <w:bCs/>
          <w:sz w:val="20"/>
          <w:szCs w:val="20"/>
        </w:rPr>
        <w:t xml:space="preserve"> “The Guideline on Human Cell-Based Medicinal Products’ - is a very relevant document, with relevance to tissues and cells and generally adopting the CTD format.</w:t>
      </w:r>
      <w:r w:rsidR="00D27E92">
        <w:rPr>
          <w:rFonts w:ascii="Segoe UI" w:eastAsia="Calibri" w:hAnsi="Segoe UI" w:cs="Segoe UI"/>
          <w:bCs/>
          <w:sz w:val="20"/>
          <w:szCs w:val="20"/>
          <w:vertAlign w:val="superscript"/>
        </w:rPr>
        <w:t>10</w:t>
      </w:r>
    </w:p>
    <w:p w14:paraId="7D0BB972"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bCs/>
          <w:sz w:val="20"/>
          <w:szCs w:val="20"/>
        </w:rPr>
        <w:t>and</w:t>
      </w:r>
    </w:p>
    <w:p w14:paraId="45D64ED0" w14:textId="2D7692CA"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‘Guideline on the requirements for quality documentation concerning biological investigational medicinal products in clinical trials’,</w:t>
      </w:r>
      <w:r w:rsidR="00D27E92">
        <w:rPr>
          <w:rFonts w:ascii="Segoe UI" w:eastAsia="Calibri" w:hAnsi="Segoe UI" w:cs="Segoe UI"/>
          <w:sz w:val="20"/>
          <w:szCs w:val="20"/>
          <w:vertAlign w:val="superscript"/>
        </w:rPr>
        <w:t>11</w:t>
      </w:r>
      <w:r w:rsidRPr="00BB4D81">
        <w:rPr>
          <w:rFonts w:ascii="Segoe UI" w:eastAsia="Calibri" w:hAnsi="Segoe UI" w:cs="Segoe UI"/>
          <w:sz w:val="20"/>
          <w:szCs w:val="20"/>
        </w:rPr>
        <w:t xml:space="preserve">  </w:t>
      </w:r>
    </w:p>
    <w:p w14:paraId="4A43D0BD" w14:textId="61C86986" w:rsidR="007D1C92" w:rsidRPr="00BB4D81" w:rsidRDefault="007D1C92" w:rsidP="001D216E">
      <w:pPr>
        <w:rPr>
          <w:lang w:eastAsia="en-US"/>
        </w:rPr>
      </w:pPr>
    </w:p>
    <w:p w14:paraId="315E68BE" w14:textId="602DF0CA" w:rsidR="000169F2" w:rsidRPr="007857CF" w:rsidRDefault="000169F2" w:rsidP="001D216E">
      <w:pPr>
        <w:rPr>
          <w:b/>
          <w:vertAlign w:val="superscript"/>
          <w:lang w:eastAsia="en-US"/>
        </w:rPr>
      </w:pPr>
      <w:r w:rsidRPr="007857CF">
        <w:rPr>
          <w:b/>
          <w:lang w:eastAsia="en-US"/>
        </w:rPr>
        <w:t>Application process –ANSM</w:t>
      </w:r>
      <w:r w:rsidR="00ED6C53">
        <w:rPr>
          <w:b/>
          <w:vertAlign w:val="superscript"/>
          <w:lang w:eastAsia="en-US"/>
        </w:rPr>
        <w:t>3</w:t>
      </w:r>
    </w:p>
    <w:p w14:paraId="1E23400C" w14:textId="0D5F5111" w:rsidR="000169F2" w:rsidRPr="007857CF" w:rsidRDefault="000169F2" w:rsidP="000169F2">
      <w:pPr>
        <w:jc w:val="both"/>
        <w:rPr>
          <w:rFonts w:eastAsia="Times New Roman" w:cstheme="minorHAnsi"/>
          <w:lang w:eastAsia="en-IE"/>
        </w:rPr>
      </w:pPr>
      <w:r w:rsidRPr="007857CF">
        <w:rPr>
          <w:lang w:eastAsia="en-US"/>
        </w:rPr>
        <w:t xml:space="preserve">For </w:t>
      </w:r>
      <w:r w:rsidR="00C6434E" w:rsidRPr="007857CF">
        <w:rPr>
          <w:lang w:eastAsia="en-US"/>
        </w:rPr>
        <w:t>authori</w:t>
      </w:r>
      <w:r w:rsidR="00C6434E">
        <w:rPr>
          <w:lang w:eastAsia="en-US"/>
        </w:rPr>
        <w:t>s</w:t>
      </w:r>
      <w:r w:rsidR="00C6434E" w:rsidRPr="007857CF">
        <w:rPr>
          <w:lang w:eastAsia="en-US"/>
        </w:rPr>
        <w:t xml:space="preserve">ation </w:t>
      </w:r>
      <w:r w:rsidR="00C6434E">
        <w:rPr>
          <w:lang w:eastAsia="en-US"/>
        </w:rPr>
        <w:t xml:space="preserve">of </w:t>
      </w:r>
      <w:r w:rsidRPr="007857CF">
        <w:rPr>
          <w:lang w:eastAsia="en-US"/>
        </w:rPr>
        <w:t>blood components include</w:t>
      </w:r>
      <w:r w:rsidR="00C6434E">
        <w:rPr>
          <w:lang w:eastAsia="en-US"/>
        </w:rPr>
        <w:t>d</w:t>
      </w:r>
      <w:r w:rsidRPr="007857CF">
        <w:rPr>
          <w:lang w:eastAsia="en-US"/>
        </w:rPr>
        <w:t xml:space="preserve"> in Category D, the request is accompanied by </w:t>
      </w:r>
      <w:r w:rsidRPr="007857CF">
        <w:rPr>
          <w:rFonts w:eastAsia="Times New Roman" w:cstheme="minorHAnsi"/>
          <w:lang w:eastAsia="en-IE"/>
        </w:rPr>
        <w:t>an argument justifying the minor nature of the change, compared to the data relating to the blood component and the existing (unmodified) medical device associated with it.</w:t>
      </w:r>
    </w:p>
    <w:p w14:paraId="28D2FBB0" w14:textId="6875D896" w:rsidR="000169F2" w:rsidRPr="00C6434E" w:rsidRDefault="000169F2">
      <w:pPr>
        <w:rPr>
          <w:lang w:eastAsia="en-US"/>
        </w:rPr>
      </w:pPr>
    </w:p>
    <w:p w14:paraId="23CB1B82" w14:textId="77777777" w:rsidR="000169F2" w:rsidRPr="007857CF" w:rsidRDefault="000169F2" w:rsidP="000169F2">
      <w:pPr>
        <w:jc w:val="both"/>
        <w:rPr>
          <w:rFonts w:eastAsia="Times New Roman" w:cstheme="minorHAnsi"/>
          <w:lang w:eastAsia="en-IE"/>
        </w:rPr>
      </w:pPr>
    </w:p>
    <w:p w14:paraId="18E42C7D" w14:textId="3CF34531" w:rsidR="000169F2" w:rsidRPr="007857CF" w:rsidRDefault="000169F2" w:rsidP="000169F2">
      <w:pPr>
        <w:jc w:val="both"/>
        <w:rPr>
          <w:rFonts w:eastAsia="Times New Roman" w:cstheme="minorHAnsi"/>
          <w:lang w:eastAsia="en-IE"/>
        </w:rPr>
      </w:pPr>
      <w:r w:rsidRPr="007857CF">
        <w:rPr>
          <w:rFonts w:eastAsia="Times New Roman" w:cstheme="minorHAnsi"/>
          <w:lang w:eastAsia="en-IE"/>
        </w:rPr>
        <w:t>The application file for the evaluation of a labile blood product consists of two parts:</w:t>
      </w:r>
    </w:p>
    <w:p w14:paraId="048B8411" w14:textId="77777777" w:rsidR="000169F2" w:rsidRPr="007857CF" w:rsidRDefault="000169F2" w:rsidP="000169F2">
      <w:pPr>
        <w:pStyle w:val="ListParagraph"/>
        <w:numPr>
          <w:ilvl w:val="0"/>
          <w:numId w:val="54"/>
        </w:numPr>
        <w:spacing w:after="0" w:line="240" w:lineRule="auto"/>
        <w:jc w:val="both"/>
        <w:rPr>
          <w:rFonts w:eastAsia="Times New Roman" w:cstheme="minorHAnsi"/>
          <w:lang w:eastAsia="en-IE"/>
        </w:rPr>
      </w:pPr>
      <w:r w:rsidRPr="007857CF">
        <w:rPr>
          <w:rFonts w:eastAsia="Times New Roman" w:cstheme="minorHAnsi"/>
          <w:lang w:eastAsia="en-IE"/>
        </w:rPr>
        <w:t>an administrative file;</w:t>
      </w:r>
    </w:p>
    <w:p w14:paraId="77562CAE" w14:textId="77777777" w:rsidR="000169F2" w:rsidRPr="007857CF" w:rsidRDefault="000169F2" w:rsidP="000169F2">
      <w:pPr>
        <w:pStyle w:val="ListParagraph"/>
        <w:numPr>
          <w:ilvl w:val="0"/>
          <w:numId w:val="54"/>
        </w:numPr>
        <w:spacing w:after="0" w:line="240" w:lineRule="auto"/>
        <w:jc w:val="both"/>
        <w:rPr>
          <w:rFonts w:eastAsia="Times New Roman" w:cstheme="minorHAnsi"/>
          <w:lang w:eastAsia="en-IE"/>
        </w:rPr>
      </w:pPr>
      <w:r w:rsidRPr="007857CF">
        <w:rPr>
          <w:rFonts w:eastAsia="Times New Roman" w:cstheme="minorHAnsi"/>
          <w:lang w:eastAsia="en-IE"/>
        </w:rPr>
        <w:t>a technical file that documents the labile blood product being evaluated.</w:t>
      </w:r>
    </w:p>
    <w:p w14:paraId="3FFD0B5E" w14:textId="77777777" w:rsidR="000169F2" w:rsidRPr="007857CF" w:rsidRDefault="000169F2" w:rsidP="000169F2">
      <w:pPr>
        <w:pStyle w:val="ListParagraph"/>
        <w:spacing w:after="0" w:line="240" w:lineRule="auto"/>
        <w:jc w:val="both"/>
        <w:rPr>
          <w:rFonts w:eastAsia="Times New Roman" w:cstheme="minorHAnsi"/>
          <w:lang w:eastAsia="en-IE"/>
        </w:rPr>
      </w:pPr>
    </w:p>
    <w:p w14:paraId="69A9EE3C" w14:textId="08078E72" w:rsidR="000169F2" w:rsidRPr="007857CF" w:rsidRDefault="000169F2" w:rsidP="000169F2">
      <w:pPr>
        <w:jc w:val="both"/>
        <w:rPr>
          <w:rFonts w:eastAsia="Times New Roman" w:cstheme="minorHAnsi"/>
          <w:bCs/>
          <w:lang w:eastAsia="en-IE"/>
        </w:rPr>
      </w:pPr>
      <w:r w:rsidRPr="007857CF">
        <w:rPr>
          <w:rFonts w:eastAsia="Times New Roman" w:cstheme="minorHAnsi"/>
          <w:bCs/>
          <w:lang w:eastAsia="en-IE"/>
        </w:rPr>
        <w:t>Administrative file</w:t>
      </w:r>
    </w:p>
    <w:p w14:paraId="32B4D79D" w14:textId="77777777" w:rsidR="000169F2" w:rsidRPr="007857CF" w:rsidRDefault="000169F2" w:rsidP="000169F2">
      <w:pPr>
        <w:jc w:val="both"/>
        <w:rPr>
          <w:rFonts w:eastAsia="Times New Roman" w:cstheme="minorHAnsi"/>
          <w:lang w:eastAsia="en-IE"/>
        </w:rPr>
      </w:pPr>
      <w:r w:rsidRPr="007857CF">
        <w:rPr>
          <w:rFonts w:eastAsia="Times New Roman" w:cstheme="minorHAnsi"/>
          <w:lang w:eastAsia="en-IE"/>
        </w:rPr>
        <w:t>This file consists of a dated and signed letter that contains the following information:</w:t>
      </w:r>
    </w:p>
    <w:p w14:paraId="5EC06C83" w14:textId="1CB5A0D1" w:rsidR="000169F2" w:rsidRPr="007857CF" w:rsidRDefault="000169F2" w:rsidP="000169F2">
      <w:pPr>
        <w:pStyle w:val="ListParagraph"/>
        <w:numPr>
          <w:ilvl w:val="0"/>
          <w:numId w:val="55"/>
        </w:numPr>
        <w:spacing w:after="0" w:line="240" w:lineRule="auto"/>
        <w:jc w:val="both"/>
        <w:rPr>
          <w:rFonts w:eastAsia="Times New Roman" w:cstheme="minorHAnsi"/>
          <w:lang w:eastAsia="en-IE"/>
        </w:rPr>
      </w:pPr>
      <w:r w:rsidRPr="007857CF">
        <w:rPr>
          <w:rFonts w:eastAsia="Times New Roman" w:cstheme="minorHAnsi"/>
          <w:lang w:eastAsia="en-IE"/>
        </w:rPr>
        <w:t xml:space="preserve">Name and address of the applicant, or for medical devices, their manufacturer or their </w:t>
      </w:r>
      <w:r w:rsidR="00C6434E" w:rsidRPr="007857CF">
        <w:rPr>
          <w:rFonts w:eastAsia="Times New Roman" w:cstheme="minorHAnsi"/>
          <w:lang w:eastAsia="en-IE"/>
        </w:rPr>
        <w:t>authori</w:t>
      </w:r>
      <w:r w:rsidR="00C6434E">
        <w:rPr>
          <w:rFonts w:eastAsia="Times New Roman" w:cstheme="minorHAnsi"/>
          <w:lang w:eastAsia="en-IE"/>
        </w:rPr>
        <w:t>s</w:t>
      </w:r>
      <w:r w:rsidR="00C6434E" w:rsidRPr="007857CF">
        <w:rPr>
          <w:rFonts w:eastAsia="Times New Roman" w:cstheme="minorHAnsi"/>
          <w:lang w:eastAsia="en-IE"/>
        </w:rPr>
        <w:t xml:space="preserve">ed </w:t>
      </w:r>
      <w:r w:rsidRPr="007857CF">
        <w:rPr>
          <w:rFonts w:eastAsia="Times New Roman" w:cstheme="minorHAnsi"/>
          <w:lang w:eastAsia="en-IE"/>
        </w:rPr>
        <w:t>representative, if applicable;</w:t>
      </w:r>
    </w:p>
    <w:p w14:paraId="170FCC90" w14:textId="77777777" w:rsidR="000169F2" w:rsidRPr="007857CF" w:rsidRDefault="000169F2" w:rsidP="000169F2">
      <w:pPr>
        <w:pStyle w:val="ListParagraph"/>
        <w:numPr>
          <w:ilvl w:val="0"/>
          <w:numId w:val="55"/>
        </w:numPr>
        <w:spacing w:after="0" w:line="240" w:lineRule="auto"/>
        <w:jc w:val="both"/>
        <w:rPr>
          <w:rFonts w:eastAsia="Times New Roman" w:cstheme="minorHAnsi"/>
          <w:lang w:eastAsia="en-IE"/>
        </w:rPr>
      </w:pPr>
      <w:r w:rsidRPr="007857CF">
        <w:rPr>
          <w:rFonts w:eastAsia="Times New Roman" w:cstheme="minorHAnsi"/>
          <w:lang w:eastAsia="en-IE"/>
        </w:rPr>
        <w:t>Name and address of the partner (s) involved in the creation of the file;</w:t>
      </w:r>
    </w:p>
    <w:p w14:paraId="54276429" w14:textId="77777777" w:rsidR="000169F2" w:rsidRPr="007857CF" w:rsidRDefault="000169F2" w:rsidP="000169F2">
      <w:pPr>
        <w:pStyle w:val="ListParagraph"/>
        <w:numPr>
          <w:ilvl w:val="0"/>
          <w:numId w:val="55"/>
        </w:numPr>
        <w:spacing w:after="0" w:line="240" w:lineRule="auto"/>
        <w:jc w:val="both"/>
        <w:rPr>
          <w:rFonts w:eastAsia="Times New Roman" w:cstheme="minorHAnsi"/>
          <w:lang w:eastAsia="en-IE"/>
        </w:rPr>
      </w:pPr>
      <w:r w:rsidRPr="007857CF">
        <w:rPr>
          <w:rFonts w:eastAsia="Times New Roman" w:cstheme="minorHAnsi"/>
          <w:lang w:eastAsia="en-IE"/>
        </w:rPr>
        <w:t>Name and contact information of the person responsible for the file submission;</w:t>
      </w:r>
    </w:p>
    <w:p w14:paraId="063A6D69" w14:textId="77777777" w:rsidR="000169F2" w:rsidRPr="007857CF" w:rsidRDefault="000169F2" w:rsidP="000169F2">
      <w:pPr>
        <w:pStyle w:val="ListParagraph"/>
        <w:numPr>
          <w:ilvl w:val="0"/>
          <w:numId w:val="55"/>
        </w:numPr>
        <w:spacing w:after="0" w:line="240" w:lineRule="auto"/>
        <w:jc w:val="both"/>
        <w:rPr>
          <w:rFonts w:eastAsia="Times New Roman" w:cstheme="minorHAnsi"/>
          <w:lang w:eastAsia="en-IE"/>
        </w:rPr>
      </w:pPr>
      <w:r w:rsidRPr="007857CF">
        <w:rPr>
          <w:rFonts w:eastAsia="Times New Roman" w:cstheme="minorHAnsi"/>
          <w:lang w:eastAsia="en-IE"/>
        </w:rPr>
        <w:t>Name of the labile blood product to which the application for evaluation and associated medical device(s) relate;</w:t>
      </w:r>
    </w:p>
    <w:p w14:paraId="0A8419EF" w14:textId="77777777" w:rsidR="000169F2" w:rsidRPr="007857CF" w:rsidRDefault="000169F2" w:rsidP="000169F2">
      <w:pPr>
        <w:pStyle w:val="ListParagraph"/>
        <w:numPr>
          <w:ilvl w:val="0"/>
          <w:numId w:val="55"/>
        </w:numPr>
        <w:spacing w:after="0" w:line="240" w:lineRule="auto"/>
        <w:jc w:val="both"/>
        <w:rPr>
          <w:rFonts w:eastAsia="Times New Roman" w:cstheme="minorHAnsi"/>
          <w:lang w:eastAsia="en-IE"/>
        </w:rPr>
      </w:pPr>
      <w:r w:rsidRPr="007857CF">
        <w:rPr>
          <w:rFonts w:eastAsia="Times New Roman" w:cstheme="minorHAnsi"/>
          <w:lang w:eastAsia="en-IE"/>
        </w:rPr>
        <w:t>Purpose of the application specifying the category claimed for the file;</w:t>
      </w:r>
    </w:p>
    <w:p w14:paraId="08E38F90" w14:textId="77777777" w:rsidR="000169F2" w:rsidRPr="007857CF" w:rsidRDefault="000169F2" w:rsidP="000169F2">
      <w:pPr>
        <w:pStyle w:val="ListParagraph"/>
        <w:numPr>
          <w:ilvl w:val="0"/>
          <w:numId w:val="55"/>
        </w:numPr>
        <w:spacing w:after="0" w:line="240" w:lineRule="auto"/>
        <w:jc w:val="both"/>
        <w:rPr>
          <w:rFonts w:eastAsia="Times New Roman" w:cstheme="minorHAnsi"/>
          <w:lang w:eastAsia="en-IE"/>
        </w:rPr>
      </w:pPr>
      <w:r w:rsidRPr="007857CF">
        <w:rPr>
          <w:rFonts w:eastAsia="Times New Roman" w:cstheme="minorHAnsi"/>
          <w:lang w:eastAsia="en-IE"/>
        </w:rPr>
        <w:t>If applicable, mention of the registration of the product on the list mentioned in 1° of Article L. 1221-8 of the Public Health Code or a statement that the product has already been evaluated by ANSM (recall the file reference issued by ANSM).</w:t>
      </w:r>
    </w:p>
    <w:p w14:paraId="1D074176" w14:textId="77777777" w:rsidR="000169F2" w:rsidRPr="007857CF" w:rsidRDefault="000169F2" w:rsidP="000169F2">
      <w:pPr>
        <w:jc w:val="both"/>
        <w:rPr>
          <w:rFonts w:eastAsia="Times New Roman" w:cstheme="minorHAnsi"/>
          <w:lang w:eastAsia="en-IE"/>
        </w:rPr>
      </w:pPr>
    </w:p>
    <w:p w14:paraId="3A66FD8C" w14:textId="77777777" w:rsidR="000169F2" w:rsidRPr="007857CF" w:rsidRDefault="000169F2" w:rsidP="000169F2">
      <w:pPr>
        <w:jc w:val="both"/>
        <w:rPr>
          <w:rFonts w:eastAsia="Times New Roman" w:cstheme="minorHAnsi"/>
          <w:bCs/>
          <w:lang w:eastAsia="en-IE"/>
        </w:rPr>
      </w:pPr>
      <w:r w:rsidRPr="007857CF">
        <w:rPr>
          <w:rFonts w:eastAsia="Times New Roman" w:cstheme="minorHAnsi"/>
          <w:bCs/>
          <w:lang w:eastAsia="en-IE"/>
        </w:rPr>
        <w:t>II. Technical file</w:t>
      </w:r>
    </w:p>
    <w:p w14:paraId="1F451398" w14:textId="77777777" w:rsidR="000169F2" w:rsidRPr="007857CF" w:rsidRDefault="000169F2" w:rsidP="000169F2">
      <w:pPr>
        <w:jc w:val="both"/>
        <w:rPr>
          <w:rFonts w:eastAsia="Times New Roman" w:cstheme="minorHAnsi"/>
          <w:lang w:eastAsia="en-IE"/>
        </w:rPr>
      </w:pPr>
      <w:r w:rsidRPr="007857CF">
        <w:rPr>
          <w:rFonts w:eastAsia="Times New Roman" w:cstheme="minorHAnsi"/>
          <w:lang w:eastAsia="en-IE"/>
        </w:rPr>
        <w:t>The technical file contains all the information needed to evaluate the PSL concerned: data on its quality and, if necessary, non-clinical and clinical data.</w:t>
      </w:r>
    </w:p>
    <w:p w14:paraId="7712FCAF" w14:textId="77777777" w:rsidR="000169F2" w:rsidRPr="007857CF" w:rsidRDefault="000169F2" w:rsidP="000169F2">
      <w:pPr>
        <w:jc w:val="both"/>
        <w:rPr>
          <w:rFonts w:eastAsia="Times New Roman" w:cstheme="minorHAnsi"/>
          <w:lang w:eastAsia="en-IE"/>
        </w:rPr>
      </w:pPr>
      <w:r w:rsidRPr="007857CF">
        <w:rPr>
          <w:rFonts w:eastAsia="Times New Roman" w:cstheme="minorHAnsi"/>
          <w:lang w:eastAsia="en-IE"/>
        </w:rPr>
        <w:t>The file consists of 4 parts:</w:t>
      </w:r>
      <w:bookmarkStart w:id="8" w:name="_GoBack"/>
      <w:bookmarkEnd w:id="8"/>
    </w:p>
    <w:p w14:paraId="2E74B3B8" w14:textId="77777777" w:rsidR="000169F2" w:rsidRPr="007857CF" w:rsidRDefault="000169F2" w:rsidP="000169F2">
      <w:pPr>
        <w:pStyle w:val="ListParagraph"/>
        <w:numPr>
          <w:ilvl w:val="0"/>
          <w:numId w:val="56"/>
        </w:numPr>
        <w:spacing w:after="0" w:line="240" w:lineRule="auto"/>
        <w:jc w:val="both"/>
        <w:rPr>
          <w:rFonts w:eastAsia="Times New Roman" w:cstheme="minorHAnsi"/>
          <w:lang w:eastAsia="en-IE"/>
        </w:rPr>
      </w:pPr>
      <w:r w:rsidRPr="007857CF">
        <w:rPr>
          <w:rFonts w:eastAsia="Times New Roman" w:cstheme="minorHAnsi"/>
          <w:lang w:eastAsia="en-IE"/>
        </w:rPr>
        <w:t>Part I: Summary of the file</w:t>
      </w:r>
    </w:p>
    <w:p w14:paraId="4E1F7422" w14:textId="77777777" w:rsidR="000169F2" w:rsidRPr="007857CF" w:rsidRDefault="000169F2" w:rsidP="000169F2">
      <w:pPr>
        <w:pStyle w:val="ListParagraph"/>
        <w:numPr>
          <w:ilvl w:val="0"/>
          <w:numId w:val="56"/>
        </w:numPr>
        <w:spacing w:after="0" w:line="240" w:lineRule="auto"/>
        <w:jc w:val="both"/>
        <w:rPr>
          <w:rFonts w:eastAsia="Times New Roman" w:cstheme="minorHAnsi"/>
          <w:lang w:eastAsia="en-IE"/>
        </w:rPr>
      </w:pPr>
      <w:r w:rsidRPr="007857CF">
        <w:rPr>
          <w:rFonts w:eastAsia="Times New Roman" w:cstheme="minorHAnsi"/>
          <w:lang w:eastAsia="en-IE"/>
        </w:rPr>
        <w:t>Part II: Data on the quality of the labile blood product</w:t>
      </w:r>
    </w:p>
    <w:p w14:paraId="27B71179" w14:textId="77777777" w:rsidR="000169F2" w:rsidRPr="007857CF" w:rsidRDefault="000169F2" w:rsidP="000169F2">
      <w:pPr>
        <w:pStyle w:val="ListParagraph"/>
        <w:numPr>
          <w:ilvl w:val="0"/>
          <w:numId w:val="56"/>
        </w:numPr>
        <w:spacing w:after="0" w:line="240" w:lineRule="auto"/>
        <w:jc w:val="both"/>
        <w:rPr>
          <w:rFonts w:eastAsia="Times New Roman" w:cstheme="minorHAnsi"/>
          <w:lang w:eastAsia="en-IE"/>
        </w:rPr>
      </w:pPr>
      <w:r w:rsidRPr="007857CF">
        <w:rPr>
          <w:rFonts w:eastAsia="Times New Roman" w:cstheme="minorHAnsi"/>
          <w:lang w:eastAsia="en-IE"/>
        </w:rPr>
        <w:t>Part III: Non-clinical data</w:t>
      </w:r>
    </w:p>
    <w:p w14:paraId="35260F9F" w14:textId="77777777" w:rsidR="000169F2" w:rsidRPr="007857CF" w:rsidRDefault="000169F2" w:rsidP="000169F2">
      <w:pPr>
        <w:pStyle w:val="ListParagraph"/>
        <w:numPr>
          <w:ilvl w:val="0"/>
          <w:numId w:val="56"/>
        </w:numPr>
        <w:spacing w:after="0" w:line="240" w:lineRule="auto"/>
        <w:jc w:val="both"/>
        <w:rPr>
          <w:rFonts w:eastAsia="Times New Roman" w:cstheme="minorHAnsi"/>
          <w:lang w:eastAsia="en-IE"/>
        </w:rPr>
      </w:pPr>
      <w:r w:rsidRPr="007857CF">
        <w:rPr>
          <w:rFonts w:eastAsia="Times New Roman" w:cstheme="minorHAnsi"/>
          <w:lang w:eastAsia="en-IE"/>
        </w:rPr>
        <w:t>Part VI: Clinical Data</w:t>
      </w:r>
    </w:p>
    <w:p w14:paraId="6703B6CE" w14:textId="77777777" w:rsidR="000169F2" w:rsidRPr="00C6434E" w:rsidRDefault="000169F2" w:rsidP="001D216E">
      <w:pPr>
        <w:rPr>
          <w:lang w:eastAsia="en-US"/>
        </w:rPr>
      </w:pPr>
    </w:p>
    <w:p w14:paraId="60853682" w14:textId="58B6EC72" w:rsidR="00C40B97" w:rsidRPr="007857CF" w:rsidRDefault="00C40B97" w:rsidP="001D216E">
      <w:pPr>
        <w:rPr>
          <w:b/>
          <w:lang w:eastAsia="en-US"/>
        </w:rPr>
      </w:pPr>
      <w:r w:rsidRPr="007857CF">
        <w:rPr>
          <w:b/>
          <w:lang w:eastAsia="en-US"/>
        </w:rPr>
        <w:t>Application process and Multi-Country Workshop</w:t>
      </w:r>
    </w:p>
    <w:p w14:paraId="7C99B73D" w14:textId="001B014F" w:rsidR="003A32B0" w:rsidRDefault="002133C8" w:rsidP="00A826E3">
      <w:pPr>
        <w:contextualSpacing/>
        <w:jc w:val="both"/>
        <w:rPr>
          <w:lang w:eastAsia="en-US"/>
        </w:rPr>
      </w:pPr>
      <w:r w:rsidRPr="00BB4D81">
        <w:rPr>
          <w:lang w:eastAsia="en-US"/>
        </w:rPr>
        <w:t>The need for a common application template was discussed, with the example of the CTD application presented to the attendees.</w:t>
      </w:r>
      <w:r w:rsidR="00A826E3" w:rsidRPr="00A826E3">
        <w:rPr>
          <w:rFonts w:ascii="Segoe UI" w:eastAsia="Calibri" w:hAnsi="Segoe UI" w:cs="Segoe UI"/>
          <w:sz w:val="20"/>
          <w:szCs w:val="20"/>
        </w:rPr>
        <w:t xml:space="preserve"> </w:t>
      </w:r>
      <w:r w:rsidR="00A826E3">
        <w:rPr>
          <w:rFonts w:ascii="Segoe UI" w:eastAsia="Calibri" w:hAnsi="Segoe UI" w:cs="Segoe UI"/>
          <w:sz w:val="20"/>
          <w:szCs w:val="20"/>
        </w:rPr>
        <w:t xml:space="preserve">The benefits of the CTD format were discussed and adapting this format for BTCs was </w:t>
      </w:r>
      <w:r w:rsidR="004E1E43">
        <w:rPr>
          <w:rFonts w:ascii="Segoe UI" w:eastAsia="Calibri" w:hAnsi="Segoe UI" w:cs="Segoe UI"/>
          <w:sz w:val="20"/>
          <w:szCs w:val="20"/>
        </w:rPr>
        <w:t>considered</w:t>
      </w:r>
      <w:r w:rsidR="00A826E3">
        <w:rPr>
          <w:rFonts w:ascii="Segoe UI" w:eastAsia="Calibri" w:hAnsi="Segoe UI" w:cs="Segoe UI"/>
          <w:sz w:val="20"/>
          <w:szCs w:val="20"/>
        </w:rPr>
        <w:t xml:space="preserve"> to be the most suitable option, </w:t>
      </w:r>
      <w:r w:rsidRPr="00BB4D81">
        <w:rPr>
          <w:lang w:eastAsia="en-US"/>
        </w:rPr>
        <w:t>with some CA’s</w:t>
      </w:r>
      <w:r w:rsidR="00355B96" w:rsidRPr="00BB4D81">
        <w:rPr>
          <w:lang w:eastAsia="en-US"/>
        </w:rPr>
        <w:t xml:space="preserve"> already</w:t>
      </w:r>
      <w:r w:rsidRPr="00BB4D81">
        <w:rPr>
          <w:lang w:eastAsia="en-US"/>
        </w:rPr>
        <w:t xml:space="preserve"> following this approach (ANSM; PEI).</w:t>
      </w:r>
      <w:r w:rsidR="00355B96" w:rsidRPr="00BB4D81">
        <w:rPr>
          <w:lang w:eastAsia="en-US"/>
        </w:rPr>
        <w:t xml:space="preserve"> </w:t>
      </w:r>
      <w:r w:rsidR="00A72ABC" w:rsidRPr="00BB4D81">
        <w:rPr>
          <w:lang w:eastAsia="en-US"/>
        </w:rPr>
        <w:t>No aspects</w:t>
      </w:r>
      <w:r w:rsidR="00793D44" w:rsidRPr="00BB4D81">
        <w:rPr>
          <w:lang w:eastAsia="en-US"/>
        </w:rPr>
        <w:t xml:space="preserve"> in the application process</w:t>
      </w:r>
      <w:r w:rsidR="00A72ABC" w:rsidRPr="00BB4D81">
        <w:rPr>
          <w:lang w:eastAsia="en-US"/>
        </w:rPr>
        <w:t xml:space="preserve"> were identified as </w:t>
      </w:r>
      <w:r w:rsidR="00793D44" w:rsidRPr="00BB4D81">
        <w:rPr>
          <w:lang w:eastAsia="en-US"/>
        </w:rPr>
        <w:t>being in</w:t>
      </w:r>
      <w:r w:rsidR="00A72ABC" w:rsidRPr="00BB4D81">
        <w:rPr>
          <w:lang w:eastAsia="en-US"/>
        </w:rPr>
        <w:t xml:space="preserve">adequately covered by the potential CTD model. </w:t>
      </w:r>
      <w:r w:rsidR="00355B96" w:rsidRPr="00BB4D81">
        <w:rPr>
          <w:lang w:eastAsia="en-US"/>
        </w:rPr>
        <w:t>Consideration has been given to whether this would allow for accommodation of the outputs of WPs 6, 7, and 8, and it is believed that with the proposed format these outputs could potentially be included as technical annexes.</w:t>
      </w:r>
    </w:p>
    <w:p w14:paraId="270DEA79" w14:textId="77777777" w:rsidR="003A32B0" w:rsidRDefault="003A32B0">
      <w:pPr>
        <w:rPr>
          <w:lang w:eastAsia="en-US"/>
        </w:rPr>
      </w:pPr>
      <w:r>
        <w:rPr>
          <w:lang w:eastAsia="en-US"/>
        </w:rPr>
        <w:br w:type="page"/>
      </w:r>
    </w:p>
    <w:p w14:paraId="3C07EB7E" w14:textId="2B4AD99D" w:rsidR="009E1008" w:rsidRPr="007857CF" w:rsidRDefault="007D1C92" w:rsidP="009E1008">
      <w:pPr>
        <w:pStyle w:val="Heading3"/>
        <w:jc w:val="both"/>
        <w:rPr>
          <w:rFonts w:eastAsia="Times New Roman"/>
          <w:b/>
          <w:lang w:eastAsia="en-US"/>
        </w:rPr>
      </w:pPr>
      <w:bookmarkStart w:id="9" w:name="_Toc48388676"/>
      <w:r w:rsidRPr="007857CF">
        <w:rPr>
          <w:rFonts w:eastAsia="Times New Roman"/>
          <w:b/>
          <w:lang w:eastAsia="en-US"/>
        </w:rPr>
        <w:t>Changes to existing processes (variations)</w:t>
      </w:r>
      <w:bookmarkEnd w:id="9"/>
    </w:p>
    <w:p w14:paraId="3FA96401" w14:textId="77777777" w:rsidR="001F45BC" w:rsidRPr="00BB4D81" w:rsidRDefault="001F45BC" w:rsidP="007D1C92">
      <w:pPr>
        <w:contextualSpacing/>
        <w:jc w:val="both"/>
        <w:rPr>
          <w:rFonts w:ascii="Segoe UI" w:eastAsia="Calibri" w:hAnsi="Segoe UI" w:cs="Segoe UI"/>
          <w:sz w:val="20"/>
          <w:szCs w:val="20"/>
        </w:rPr>
      </w:pPr>
    </w:p>
    <w:p w14:paraId="1C5E3C4D" w14:textId="1C2B2EA6" w:rsidR="00853479" w:rsidRPr="007857CF" w:rsidRDefault="00BB2994" w:rsidP="007D1C92">
      <w:pPr>
        <w:contextualSpacing/>
        <w:jc w:val="both"/>
        <w:rPr>
          <w:rFonts w:ascii="Segoe UI" w:eastAsia="Calibri" w:hAnsi="Segoe UI" w:cs="Segoe UI"/>
          <w:b/>
          <w:sz w:val="20"/>
          <w:szCs w:val="20"/>
        </w:rPr>
      </w:pPr>
      <w:r w:rsidRPr="007857CF">
        <w:rPr>
          <w:rFonts w:ascii="Segoe UI" w:eastAsia="Calibri" w:hAnsi="Segoe UI" w:cs="Segoe UI"/>
          <w:b/>
          <w:sz w:val="20"/>
          <w:szCs w:val="20"/>
        </w:rPr>
        <w:t>Variations</w:t>
      </w:r>
      <w:r w:rsidR="00853479" w:rsidRPr="007857CF">
        <w:rPr>
          <w:rFonts w:ascii="Segoe UI" w:eastAsia="Calibri" w:hAnsi="Segoe UI" w:cs="Segoe UI"/>
          <w:b/>
          <w:sz w:val="20"/>
          <w:szCs w:val="20"/>
        </w:rPr>
        <w:t xml:space="preserve"> </w:t>
      </w:r>
      <w:r w:rsidR="00DB3913" w:rsidRPr="007857CF">
        <w:rPr>
          <w:rFonts w:ascii="Segoe UI" w:eastAsia="Calibri" w:hAnsi="Segoe UI" w:cs="Segoe UI"/>
          <w:b/>
          <w:sz w:val="20"/>
          <w:szCs w:val="20"/>
        </w:rPr>
        <w:t>-</w:t>
      </w:r>
      <w:r w:rsidR="00853479" w:rsidRPr="007857CF">
        <w:rPr>
          <w:rFonts w:ascii="Segoe UI" w:eastAsia="Calibri" w:hAnsi="Segoe UI" w:cs="Segoe UI"/>
          <w:b/>
          <w:sz w:val="20"/>
          <w:szCs w:val="20"/>
        </w:rPr>
        <w:t xml:space="preserve"> WP5 Survey</w:t>
      </w:r>
    </w:p>
    <w:p w14:paraId="7AD53E34" w14:textId="77777777" w:rsidR="00853479" w:rsidRPr="00BB4D81" w:rsidRDefault="00853479" w:rsidP="007D1C92">
      <w:pPr>
        <w:contextualSpacing/>
        <w:jc w:val="both"/>
        <w:rPr>
          <w:rFonts w:ascii="Segoe UI" w:eastAsia="Calibri" w:hAnsi="Segoe UI" w:cs="Segoe UI"/>
          <w:sz w:val="20"/>
          <w:szCs w:val="20"/>
        </w:rPr>
      </w:pPr>
    </w:p>
    <w:p w14:paraId="160174DC" w14:textId="77B30D09" w:rsidR="007D1C92" w:rsidRPr="00BB4D81" w:rsidRDefault="007D1C92" w:rsidP="007D1C92">
      <w:p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The survey was used to determine if any CAs had existing processes in place in relation to the management of changes to existing authorisations. The majority of CAs who responded indicated that a system was in place. </w:t>
      </w:r>
      <w:r w:rsidR="00D10F62">
        <w:rPr>
          <w:rFonts w:ascii="Segoe UI" w:eastAsia="Calibri" w:hAnsi="Segoe UI" w:cs="Segoe UI"/>
          <w:sz w:val="20"/>
          <w:szCs w:val="20"/>
        </w:rPr>
        <w:t>8</w:t>
      </w:r>
      <w:r w:rsidRPr="00BB4D81">
        <w:rPr>
          <w:rFonts w:ascii="Segoe UI" w:eastAsia="Calibri" w:hAnsi="Segoe UI" w:cs="Segoe UI"/>
          <w:sz w:val="20"/>
          <w:szCs w:val="20"/>
        </w:rPr>
        <w:t xml:space="preserve">8% </w:t>
      </w:r>
      <w:r w:rsidR="00D10F62">
        <w:rPr>
          <w:rFonts w:ascii="Segoe UI" w:eastAsia="Calibri" w:hAnsi="Segoe UI" w:cs="Segoe UI"/>
          <w:sz w:val="20"/>
          <w:szCs w:val="20"/>
        </w:rPr>
        <w:t xml:space="preserve">of </w:t>
      </w:r>
      <w:r w:rsidRPr="00BB4D81">
        <w:rPr>
          <w:rFonts w:ascii="Segoe UI" w:eastAsia="Calibri" w:hAnsi="Segoe UI" w:cs="Segoe UI"/>
          <w:sz w:val="20"/>
          <w:szCs w:val="20"/>
        </w:rPr>
        <w:t>respondents</w:t>
      </w:r>
      <w:r w:rsidR="00D10F62">
        <w:rPr>
          <w:rFonts w:ascii="Segoe UI" w:eastAsia="Calibri" w:hAnsi="Segoe UI" w:cs="Segoe UI"/>
          <w:sz w:val="20"/>
          <w:szCs w:val="20"/>
        </w:rPr>
        <w:t xml:space="preserve"> </w:t>
      </w:r>
      <w:r w:rsidR="00D10F62" w:rsidRPr="00BB4D81">
        <w:rPr>
          <w:rFonts w:ascii="Segoe UI" w:eastAsia="Calibri" w:hAnsi="Segoe UI" w:cs="Segoe UI"/>
          <w:sz w:val="20"/>
          <w:szCs w:val="20"/>
        </w:rPr>
        <w:t>(21</w:t>
      </w:r>
      <w:r w:rsidR="00D10F62">
        <w:rPr>
          <w:rFonts w:ascii="Segoe UI" w:eastAsia="Calibri" w:hAnsi="Segoe UI" w:cs="Segoe UI"/>
          <w:sz w:val="20"/>
          <w:szCs w:val="20"/>
        </w:rPr>
        <w:t>/24</w:t>
      </w:r>
      <w:r w:rsidR="00D10F62" w:rsidRPr="00BB4D81">
        <w:rPr>
          <w:rFonts w:ascii="Segoe UI" w:eastAsia="Calibri" w:hAnsi="Segoe UI" w:cs="Segoe UI"/>
          <w:sz w:val="20"/>
          <w:szCs w:val="20"/>
        </w:rPr>
        <w:t>)</w:t>
      </w:r>
      <w:r w:rsidRPr="00BB4D81">
        <w:rPr>
          <w:rFonts w:ascii="Segoe UI" w:eastAsia="Calibri" w:hAnsi="Segoe UI" w:cs="Segoe UI"/>
          <w:sz w:val="20"/>
          <w:szCs w:val="20"/>
        </w:rPr>
        <w:t>, indicated that they had a system in place to manage changes to existing authorisations. 75% of respondents (18/24), indicated that the changes required to amend the authorisation were defined in legislation, with the same 75%</w:t>
      </w:r>
      <w:r w:rsidR="00743E1C" w:rsidRPr="00BB4D81">
        <w:rPr>
          <w:rFonts w:ascii="Segoe UI" w:eastAsia="Calibri" w:hAnsi="Segoe UI" w:cs="Segoe UI"/>
          <w:sz w:val="20"/>
          <w:szCs w:val="20"/>
        </w:rPr>
        <w:t xml:space="preserve"> (18/24)</w:t>
      </w:r>
      <w:r w:rsidRPr="00BB4D81">
        <w:rPr>
          <w:rFonts w:ascii="Segoe UI" w:eastAsia="Calibri" w:hAnsi="Segoe UI" w:cs="Segoe UI"/>
          <w:sz w:val="20"/>
          <w:szCs w:val="20"/>
        </w:rPr>
        <w:t xml:space="preserve"> indicating that the process for managing authorisation changes was linked to the inspection system.</w:t>
      </w:r>
    </w:p>
    <w:p w14:paraId="50ECCC40" w14:textId="77777777" w:rsidR="007D1C92" w:rsidRPr="00BB4D81" w:rsidRDefault="007D1C92" w:rsidP="007D1C92">
      <w:pPr>
        <w:jc w:val="both"/>
        <w:rPr>
          <w:rFonts w:ascii="Segoe UI" w:eastAsia="Calibri" w:hAnsi="Segoe UI" w:cs="Segoe UI"/>
          <w:sz w:val="20"/>
          <w:szCs w:val="20"/>
        </w:rPr>
      </w:pPr>
    </w:p>
    <w:p w14:paraId="27649329" w14:textId="5888220B"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Specific examples of “significant changes” or changes required to amend an authorisation</w:t>
      </w:r>
      <w:r w:rsidR="005647FB">
        <w:rPr>
          <w:rFonts w:ascii="Segoe UI" w:eastAsia="Calibri" w:hAnsi="Segoe UI" w:cs="Segoe UI"/>
          <w:sz w:val="20"/>
          <w:szCs w:val="20"/>
        </w:rPr>
        <w:t xml:space="preserve"> were provided from the survey:</w:t>
      </w:r>
    </w:p>
    <w:p w14:paraId="586E528D"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Change in Company / Establishment Name</w:t>
      </w:r>
    </w:p>
    <w:p w14:paraId="1B61D014"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Changes in Rooms / facilities / premises / address; </w:t>
      </w:r>
    </w:p>
    <w:p w14:paraId="1278557A"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 in Equipment (if new technologies); </w:t>
      </w:r>
    </w:p>
    <w:p w14:paraId="2D73E45E"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New products; </w:t>
      </w:r>
    </w:p>
    <w:p w14:paraId="520CA2B8"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New activities; (Also ceasing / voluntarily suspending activities);</w:t>
      </w:r>
    </w:p>
    <w:p w14:paraId="49CB4C01"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 to existing activities (new technique / process within an activity) </w:t>
      </w:r>
    </w:p>
    <w:p w14:paraId="172F9011"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New processes; </w:t>
      </w:r>
    </w:p>
    <w:p w14:paraId="16B69D84"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Change in existing processes (new technique within a process);</w:t>
      </w:r>
    </w:p>
    <w:p w14:paraId="76C59369"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Changes to procurement / collection procedures; </w:t>
      </w:r>
    </w:p>
    <w:p w14:paraId="14B527C5"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 in Responsible Person (RP); </w:t>
      </w:r>
    </w:p>
    <w:p w14:paraId="04C37787"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Changes to third party agreements; </w:t>
      </w:r>
    </w:p>
    <w:p w14:paraId="59CD2A0B"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Changes to authorisation special conditions; </w:t>
      </w:r>
    </w:p>
    <w:p w14:paraId="2ED2C416"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Changes in SOP; </w:t>
      </w:r>
    </w:p>
    <w:p w14:paraId="66B93C88"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Changes in Organisational Structure; </w:t>
      </w:r>
    </w:p>
    <w:p w14:paraId="6B54249D" w14:textId="77777777" w:rsidR="007D1C92" w:rsidRPr="00BB4D81" w:rsidRDefault="007D1C92" w:rsidP="00A01F03">
      <w:pPr>
        <w:numPr>
          <w:ilvl w:val="0"/>
          <w:numId w:val="35"/>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New IT system; </w:t>
      </w:r>
    </w:p>
    <w:p w14:paraId="22FAE5A1" w14:textId="6683DEE0"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Although the majority of respondents indicated a system was in place for the management of changes, the above examples highlights the need for a clear grading </w:t>
      </w:r>
      <w:r w:rsidR="005647FB" w:rsidRPr="00BB4D81">
        <w:rPr>
          <w:rFonts w:ascii="Segoe UI" w:eastAsia="Calibri" w:hAnsi="Segoe UI" w:cs="Segoe UI"/>
          <w:sz w:val="20"/>
          <w:szCs w:val="20"/>
        </w:rPr>
        <w:t>methodology, which</w:t>
      </w:r>
      <w:r w:rsidRPr="00BB4D81">
        <w:rPr>
          <w:rFonts w:ascii="Segoe UI" w:eastAsia="Calibri" w:hAnsi="Segoe UI" w:cs="Segoe UI"/>
          <w:sz w:val="20"/>
          <w:szCs w:val="20"/>
        </w:rPr>
        <w:t xml:space="preserve"> harmonises the approach in relation to significant changes. </w:t>
      </w:r>
    </w:p>
    <w:p w14:paraId="0E48270F" w14:textId="77777777" w:rsidR="007D1C92" w:rsidRPr="00BB4D81" w:rsidRDefault="007D1C92" w:rsidP="007D1C92">
      <w:pPr>
        <w:jc w:val="both"/>
        <w:rPr>
          <w:rFonts w:ascii="Segoe UI" w:eastAsia="Calibri" w:hAnsi="Segoe UI" w:cs="Segoe UI"/>
          <w:bCs/>
          <w:sz w:val="20"/>
          <w:szCs w:val="20"/>
        </w:rPr>
      </w:pPr>
    </w:p>
    <w:p w14:paraId="3732D62D" w14:textId="77777777" w:rsidR="00FE75DF" w:rsidRDefault="00FE75DF">
      <w:pPr>
        <w:rPr>
          <w:rFonts w:ascii="Segoe UI" w:eastAsia="Calibri" w:hAnsi="Segoe UI" w:cs="Segoe UI"/>
          <w:b/>
          <w:bCs/>
          <w:sz w:val="20"/>
          <w:szCs w:val="20"/>
        </w:rPr>
      </w:pPr>
      <w:r>
        <w:rPr>
          <w:rFonts w:ascii="Segoe UI" w:eastAsia="Calibri" w:hAnsi="Segoe UI" w:cs="Segoe UI"/>
          <w:b/>
          <w:bCs/>
          <w:sz w:val="20"/>
          <w:szCs w:val="20"/>
        </w:rPr>
        <w:br w:type="page"/>
      </w:r>
    </w:p>
    <w:p w14:paraId="5CF52BED" w14:textId="4D184599" w:rsidR="00BB2994" w:rsidRPr="007857CF" w:rsidRDefault="00BB2994" w:rsidP="007D1C92">
      <w:pPr>
        <w:jc w:val="both"/>
        <w:rPr>
          <w:rFonts w:ascii="Segoe UI" w:eastAsia="Calibri" w:hAnsi="Segoe UI" w:cs="Segoe UI"/>
          <w:b/>
          <w:bCs/>
          <w:sz w:val="20"/>
          <w:szCs w:val="20"/>
        </w:rPr>
      </w:pPr>
      <w:r w:rsidRPr="007857CF">
        <w:rPr>
          <w:rFonts w:ascii="Segoe UI" w:eastAsia="Calibri" w:hAnsi="Segoe UI" w:cs="Segoe UI"/>
          <w:b/>
          <w:bCs/>
          <w:sz w:val="20"/>
          <w:szCs w:val="20"/>
        </w:rPr>
        <w:t xml:space="preserve">Variations </w:t>
      </w:r>
      <w:r w:rsidR="00DB3913" w:rsidRPr="007857CF">
        <w:rPr>
          <w:rFonts w:ascii="Segoe UI" w:eastAsia="Calibri" w:hAnsi="Segoe UI" w:cs="Segoe UI"/>
          <w:b/>
          <w:bCs/>
          <w:sz w:val="20"/>
          <w:szCs w:val="20"/>
        </w:rPr>
        <w:t>-</w:t>
      </w:r>
      <w:r w:rsidRPr="007857CF">
        <w:rPr>
          <w:rFonts w:ascii="Segoe UI" w:eastAsia="Calibri" w:hAnsi="Segoe UI" w:cs="Segoe UI"/>
          <w:b/>
          <w:bCs/>
          <w:sz w:val="20"/>
          <w:szCs w:val="20"/>
        </w:rPr>
        <w:t xml:space="preserve"> Desk-Based Review</w:t>
      </w:r>
    </w:p>
    <w:p w14:paraId="010F2E90" w14:textId="506B361E" w:rsidR="007D1C92" w:rsidRPr="00BB4D81" w:rsidRDefault="007D1C92" w:rsidP="007D1C92">
      <w:pPr>
        <w:jc w:val="both"/>
        <w:rPr>
          <w:rFonts w:ascii="Segoe UI" w:eastAsia="Calibri" w:hAnsi="Segoe UI" w:cs="Segoe UI"/>
          <w:bCs/>
          <w:sz w:val="20"/>
          <w:szCs w:val="20"/>
        </w:rPr>
      </w:pPr>
      <w:r w:rsidRPr="00BB4D81">
        <w:rPr>
          <w:rFonts w:ascii="Segoe UI" w:eastAsia="Calibri" w:hAnsi="Segoe UI" w:cs="Segoe UI"/>
          <w:bCs/>
          <w:sz w:val="20"/>
          <w:szCs w:val="20"/>
        </w:rPr>
        <w:t xml:space="preserve">With respect to identification of a well-defined regulatory framework for the management of changes, the </w:t>
      </w:r>
      <w:r w:rsidR="005647FB" w:rsidRPr="00BB4D81">
        <w:rPr>
          <w:rFonts w:ascii="Segoe UI" w:eastAsia="Calibri" w:hAnsi="Segoe UI" w:cs="Segoe UI"/>
          <w:bCs/>
          <w:sz w:val="20"/>
          <w:szCs w:val="20"/>
        </w:rPr>
        <w:t>desk-based</w:t>
      </w:r>
      <w:r w:rsidRPr="00BB4D81">
        <w:rPr>
          <w:rFonts w:ascii="Segoe UI" w:eastAsia="Calibri" w:hAnsi="Segoe UI" w:cs="Segoe UI"/>
          <w:bCs/>
          <w:sz w:val="20"/>
          <w:szCs w:val="20"/>
        </w:rPr>
        <w:t xml:space="preserve"> review identified the following as the system with which parallels could be drawn and a system developed based on existing guidance in relation to blood, tissues and cells: </w:t>
      </w:r>
    </w:p>
    <w:p w14:paraId="3E7A020F" w14:textId="18F69146" w:rsidR="007D1C92" w:rsidRPr="007857CF" w:rsidRDefault="007D1C92" w:rsidP="007D1C92">
      <w:pPr>
        <w:jc w:val="both"/>
        <w:rPr>
          <w:rFonts w:ascii="Segoe UI" w:eastAsia="Calibri" w:hAnsi="Segoe UI" w:cs="Segoe UI"/>
          <w:bCs/>
          <w:sz w:val="20"/>
          <w:szCs w:val="20"/>
          <w:vertAlign w:val="superscript"/>
        </w:rPr>
      </w:pPr>
      <w:r w:rsidRPr="00BB4D81">
        <w:rPr>
          <w:rFonts w:ascii="Segoe UI" w:eastAsia="Calibri" w:hAnsi="Segoe UI" w:cs="Segoe UI"/>
          <w:bCs/>
          <w:sz w:val="20"/>
          <w:szCs w:val="20"/>
        </w:rPr>
        <w:t>‘Guidelines on the details of the various categories of variations, on the operation of the procedures laid down in Chapters II, IIa, III and IV of Commission Regulation (EC) No 1234/2008 of 24 November 2008 concerning the examination of variations to the terms of marketing authorisations for medicinal products for human use and veterinary medicinal products and on the documentation to be submitted pursuant to those procedures’ and ‘Communication from the Commission – Guideline on the details of the various categories of variations to the terms of marketing authorisations for medicinal products for human use and veterinary medicinal products’</w:t>
      </w:r>
      <w:r w:rsidR="00BE3916">
        <w:rPr>
          <w:rFonts w:ascii="Segoe UI" w:eastAsia="Calibri" w:hAnsi="Segoe UI" w:cs="Segoe UI"/>
          <w:bCs/>
          <w:sz w:val="20"/>
          <w:szCs w:val="20"/>
          <w:vertAlign w:val="superscript"/>
        </w:rPr>
        <w:t>8</w:t>
      </w:r>
    </w:p>
    <w:p w14:paraId="69ADD8AF"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bCs/>
          <w:sz w:val="20"/>
          <w:szCs w:val="20"/>
        </w:rPr>
        <w:t>The variations system essentially categories types of changes to a manufacturing process and defines associated reporting and/or approval requirements.</w:t>
      </w:r>
    </w:p>
    <w:p w14:paraId="4D5E91B5"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The Variations Regulation and the Annex to these guidelines set out a list of changes to be considered as minor variations of Type IA. Such minor variations do not require any prior approval, but must be notified by the holder within 12 months following implementation (‘Do and Tell’ procedure). However, certain minor variations of Type IA require immediate notification after implementation, in order to ensure the continuous supervision of the medicinal product. </w:t>
      </w:r>
    </w:p>
    <w:p w14:paraId="4008A851"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The Annex to these guidelines clarifies the conditions which must be met in order for a change to follow a Type IA notification procedure, and specifies which minor variations of Type IA must be notified immediately following implementation.</w:t>
      </w:r>
    </w:p>
    <w:p w14:paraId="272E03EB"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For Type 1B - Within 30 days following the acknowledgement of receipt of a valid notification, the Agency will notify the holder of the outcome of the procedure. If the Agency has not sent the holder its opinion on the notification within 30 days following the acknowledgement of receipt of a valid notification, the notification will be deemed acceptable.</w:t>
      </w:r>
    </w:p>
    <w:p w14:paraId="2B5915B4" w14:textId="77777777" w:rsidR="007D1C92" w:rsidRPr="00BB4D81" w:rsidRDefault="007D1C92" w:rsidP="007D1C92">
      <w:pPr>
        <w:jc w:val="both"/>
        <w:rPr>
          <w:rFonts w:ascii="Segoe UI" w:eastAsia="Calibri" w:hAnsi="Segoe UI" w:cs="Segoe UI"/>
          <w:sz w:val="20"/>
          <w:szCs w:val="20"/>
        </w:rPr>
      </w:pPr>
      <w:r w:rsidRPr="00BB4D81">
        <w:rPr>
          <w:rFonts w:ascii="Segoe UI" w:eastAsia="Calibri" w:hAnsi="Segoe UI" w:cs="Segoe UI"/>
          <w:sz w:val="20"/>
          <w:szCs w:val="20"/>
        </w:rPr>
        <w:t>The Variations Regulation and the Annex to these guidelines set out a list of changes to be considered as major variations of Type II. Such major variations require approval of the relevant competent authority before implementation.</w:t>
      </w:r>
    </w:p>
    <w:p w14:paraId="13A2713C" w14:textId="1B37C1D5" w:rsidR="007D1C92" w:rsidRPr="00BB4D81" w:rsidRDefault="007D1C92" w:rsidP="007D1C92">
      <w:pPr>
        <w:contextualSpacing/>
        <w:jc w:val="both"/>
        <w:rPr>
          <w:rFonts w:ascii="Segoe UI" w:eastAsia="Calibri" w:hAnsi="Segoe UI" w:cs="Segoe UI"/>
          <w:sz w:val="20"/>
          <w:szCs w:val="20"/>
        </w:rPr>
      </w:pPr>
    </w:p>
    <w:p w14:paraId="027A4649" w14:textId="77777777" w:rsidR="00FD6EC4" w:rsidRPr="007857CF" w:rsidRDefault="00FD6EC4" w:rsidP="007D1C92">
      <w:pPr>
        <w:contextualSpacing/>
        <w:jc w:val="both"/>
        <w:rPr>
          <w:rFonts w:ascii="Segoe UI" w:eastAsia="Calibri" w:hAnsi="Segoe UI" w:cs="Segoe UI"/>
          <w:b/>
          <w:sz w:val="20"/>
          <w:szCs w:val="20"/>
        </w:rPr>
      </w:pPr>
      <w:r w:rsidRPr="007857CF">
        <w:rPr>
          <w:rFonts w:ascii="Segoe UI" w:eastAsia="Calibri" w:hAnsi="Segoe UI" w:cs="Segoe UI"/>
          <w:b/>
          <w:sz w:val="20"/>
          <w:szCs w:val="20"/>
        </w:rPr>
        <w:t>Variations – Outputs from Previous European Projects</w:t>
      </w:r>
    </w:p>
    <w:p w14:paraId="4513C226" w14:textId="0BE244E9" w:rsidR="00FD6EC4" w:rsidRPr="00BB4D81" w:rsidRDefault="00FD6EC4" w:rsidP="007D1C92">
      <w:p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 </w:t>
      </w:r>
    </w:p>
    <w:p w14:paraId="5435D292" w14:textId="4B598957" w:rsidR="007D1C92" w:rsidRPr="00BB4D81" w:rsidRDefault="007D1C92" w:rsidP="007D1C92">
      <w:p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From </w:t>
      </w:r>
      <w:r w:rsidR="0093210F">
        <w:rPr>
          <w:rFonts w:ascii="Segoe UI" w:eastAsia="Calibri" w:hAnsi="Segoe UI" w:cs="Segoe UI"/>
          <w:sz w:val="20"/>
          <w:szCs w:val="20"/>
        </w:rPr>
        <w:t>EURO</w:t>
      </w:r>
      <w:r w:rsidR="00FA71F7">
        <w:rPr>
          <w:rFonts w:ascii="Segoe UI" w:eastAsia="Calibri" w:hAnsi="Segoe UI" w:cs="Segoe UI"/>
          <w:sz w:val="20"/>
          <w:szCs w:val="20"/>
        </w:rPr>
        <w:t>GTP II,</w:t>
      </w:r>
      <w:r w:rsidRPr="00BB4D81">
        <w:rPr>
          <w:rFonts w:ascii="Segoe UI" w:eastAsia="Calibri" w:hAnsi="Segoe UI" w:cs="Segoe UI"/>
          <w:sz w:val="20"/>
          <w:szCs w:val="20"/>
        </w:rPr>
        <w:t xml:space="preserve"> it has already been seen that four categories of risk can be identified by using the risk assessment tool: Negligible, Low, Moderate, and High and the tool can be used in relation to the determination of the impact of a change in the process.</w:t>
      </w:r>
    </w:p>
    <w:p w14:paraId="2FDC10A5" w14:textId="77777777" w:rsidR="007D1C92" w:rsidRPr="00BB4D81" w:rsidRDefault="007D1C92" w:rsidP="007D1C92">
      <w:pPr>
        <w:contextualSpacing/>
        <w:jc w:val="both"/>
        <w:rPr>
          <w:rFonts w:ascii="Segoe UI" w:eastAsia="Calibri" w:hAnsi="Segoe UI" w:cs="Segoe UI"/>
          <w:sz w:val="20"/>
          <w:szCs w:val="20"/>
        </w:rPr>
      </w:pPr>
    </w:p>
    <w:p w14:paraId="2877491C" w14:textId="3531C0E1" w:rsidR="007D1C92" w:rsidRPr="00BB4D81" w:rsidRDefault="005647FB" w:rsidP="007D1C92">
      <w:pPr>
        <w:contextualSpacing/>
        <w:jc w:val="both"/>
        <w:rPr>
          <w:rFonts w:ascii="Segoe UI" w:eastAsia="Calibri" w:hAnsi="Segoe UI" w:cs="Segoe UI"/>
          <w:sz w:val="20"/>
          <w:szCs w:val="20"/>
        </w:rPr>
      </w:pPr>
      <w:r w:rsidRPr="00BB4D81">
        <w:rPr>
          <w:rFonts w:ascii="Segoe UI" w:eastAsia="Calibri" w:hAnsi="Segoe UI" w:cs="Segoe UI"/>
          <w:sz w:val="20"/>
          <w:szCs w:val="20"/>
        </w:rPr>
        <w:t>Therefore,</w:t>
      </w:r>
      <w:r w:rsidR="007D1C92" w:rsidRPr="00BB4D81">
        <w:rPr>
          <w:rFonts w:ascii="Segoe UI" w:eastAsia="Calibri" w:hAnsi="Segoe UI" w:cs="Segoe UI"/>
          <w:sz w:val="20"/>
          <w:szCs w:val="20"/>
        </w:rPr>
        <w:t xml:space="preserve"> the risk categorisation from </w:t>
      </w:r>
      <w:r w:rsidR="0093210F">
        <w:rPr>
          <w:rFonts w:ascii="Segoe UI" w:eastAsia="Calibri" w:hAnsi="Segoe UI" w:cs="Segoe UI"/>
          <w:sz w:val="20"/>
          <w:szCs w:val="20"/>
        </w:rPr>
        <w:t>EURO</w:t>
      </w:r>
      <w:r w:rsidR="007D1C92" w:rsidRPr="00BB4D81">
        <w:rPr>
          <w:rFonts w:ascii="Segoe UI" w:eastAsia="Calibri" w:hAnsi="Segoe UI" w:cs="Segoe UI"/>
          <w:sz w:val="20"/>
          <w:szCs w:val="20"/>
        </w:rPr>
        <w:t>GTP II could then be linked to graded notification and approval requirements. This is a proposal for the guideline.</w:t>
      </w:r>
    </w:p>
    <w:p w14:paraId="033C6F5F" w14:textId="77777777" w:rsidR="007D1C92" w:rsidRPr="00BB4D81" w:rsidRDefault="007D1C92" w:rsidP="007D1C92">
      <w:pPr>
        <w:contextualSpacing/>
        <w:jc w:val="both"/>
        <w:rPr>
          <w:rFonts w:ascii="Segoe UI" w:eastAsia="Calibri" w:hAnsi="Segoe UI" w:cs="Segoe UI"/>
          <w:sz w:val="20"/>
          <w:szCs w:val="20"/>
        </w:rPr>
      </w:pPr>
    </w:p>
    <w:p w14:paraId="2279F260" w14:textId="385E3AB3" w:rsidR="00BB2994" w:rsidRPr="007857CF" w:rsidRDefault="00BB2994" w:rsidP="007D1C92">
      <w:pPr>
        <w:jc w:val="both"/>
        <w:rPr>
          <w:rFonts w:ascii="Segoe UI" w:eastAsia="Calibri" w:hAnsi="Segoe UI" w:cs="Segoe UI"/>
          <w:b/>
          <w:sz w:val="20"/>
          <w:szCs w:val="20"/>
        </w:rPr>
      </w:pPr>
      <w:r w:rsidRPr="007857CF">
        <w:rPr>
          <w:rFonts w:ascii="Segoe UI" w:eastAsia="Calibri" w:hAnsi="Segoe UI" w:cs="Segoe UI"/>
          <w:b/>
          <w:sz w:val="20"/>
          <w:szCs w:val="20"/>
        </w:rPr>
        <w:t xml:space="preserve">Variations </w:t>
      </w:r>
      <w:r w:rsidR="00DB3913" w:rsidRPr="007857CF">
        <w:rPr>
          <w:rFonts w:ascii="Segoe UI" w:eastAsia="Calibri" w:hAnsi="Segoe UI" w:cs="Segoe UI"/>
          <w:b/>
          <w:sz w:val="20"/>
          <w:szCs w:val="20"/>
        </w:rPr>
        <w:t>-</w:t>
      </w:r>
      <w:r w:rsidRPr="007857CF">
        <w:rPr>
          <w:rFonts w:ascii="Segoe UI" w:eastAsia="Calibri" w:hAnsi="Segoe UI" w:cs="Segoe UI"/>
          <w:b/>
          <w:sz w:val="20"/>
          <w:szCs w:val="20"/>
        </w:rPr>
        <w:t xml:space="preserve"> Multi-Country Workshop</w:t>
      </w:r>
    </w:p>
    <w:p w14:paraId="506B6164" w14:textId="1CC36D51" w:rsidR="00081F25" w:rsidRDefault="007D1C92" w:rsidP="002E60A4">
      <w:pPr>
        <w:contextualSpacing/>
        <w:jc w:val="both"/>
        <w:rPr>
          <w:rFonts w:ascii="Segoe UI" w:eastAsia="Calibri" w:hAnsi="Segoe UI" w:cs="Segoe UI"/>
          <w:sz w:val="20"/>
          <w:szCs w:val="20"/>
        </w:rPr>
      </w:pPr>
      <w:r w:rsidRPr="00BB4D81">
        <w:rPr>
          <w:rFonts w:ascii="Segoe UI" w:eastAsia="Calibri" w:hAnsi="Segoe UI" w:cs="Segoe UI"/>
          <w:sz w:val="20"/>
          <w:szCs w:val="20"/>
        </w:rPr>
        <w:t xml:space="preserve">Discussion </w:t>
      </w:r>
      <w:r w:rsidR="00BB2994" w:rsidRPr="00BB4D81">
        <w:rPr>
          <w:rFonts w:ascii="Segoe UI" w:eastAsia="Calibri" w:hAnsi="Segoe UI" w:cs="Segoe UI"/>
          <w:sz w:val="20"/>
          <w:szCs w:val="20"/>
        </w:rPr>
        <w:t xml:space="preserve">was </w:t>
      </w:r>
      <w:r w:rsidRPr="00BB4D81">
        <w:rPr>
          <w:rFonts w:ascii="Segoe UI" w:eastAsia="Calibri" w:hAnsi="Segoe UI" w:cs="Segoe UI"/>
          <w:sz w:val="20"/>
          <w:szCs w:val="20"/>
        </w:rPr>
        <w:t xml:space="preserve">had around </w:t>
      </w:r>
      <w:r w:rsidR="00081F25">
        <w:rPr>
          <w:rFonts w:ascii="Segoe UI" w:eastAsia="Calibri" w:hAnsi="Segoe UI" w:cs="Segoe UI"/>
          <w:sz w:val="20"/>
          <w:szCs w:val="20"/>
        </w:rPr>
        <w:t xml:space="preserve">the </w:t>
      </w:r>
      <w:r w:rsidRPr="00BB4D81">
        <w:rPr>
          <w:rFonts w:ascii="Segoe UI" w:eastAsia="Calibri" w:hAnsi="Segoe UI" w:cs="Segoe UI"/>
          <w:sz w:val="20"/>
          <w:szCs w:val="20"/>
        </w:rPr>
        <w:t xml:space="preserve">management of changes and what </w:t>
      </w:r>
      <w:r w:rsidR="005F296C" w:rsidRPr="00BB4D81">
        <w:rPr>
          <w:rFonts w:ascii="Segoe UI" w:eastAsia="Calibri" w:hAnsi="Segoe UI" w:cs="Segoe UI"/>
          <w:sz w:val="20"/>
          <w:szCs w:val="20"/>
        </w:rPr>
        <w:t xml:space="preserve">changes are </w:t>
      </w:r>
      <w:r w:rsidRPr="00BB4D81">
        <w:rPr>
          <w:rFonts w:ascii="Segoe UI" w:eastAsia="Calibri" w:hAnsi="Segoe UI" w:cs="Segoe UI"/>
          <w:sz w:val="20"/>
          <w:szCs w:val="20"/>
        </w:rPr>
        <w:t>de</w:t>
      </w:r>
      <w:r w:rsidR="00315334" w:rsidRPr="00BB4D81">
        <w:rPr>
          <w:rFonts w:ascii="Segoe UI" w:eastAsia="Calibri" w:hAnsi="Segoe UI" w:cs="Segoe UI"/>
          <w:sz w:val="20"/>
          <w:szCs w:val="20"/>
        </w:rPr>
        <w:t xml:space="preserve">fined as a “significant change”. This </w:t>
      </w:r>
      <w:r w:rsidR="005F296C" w:rsidRPr="00BB4D81">
        <w:rPr>
          <w:rFonts w:ascii="Segoe UI" w:eastAsia="Calibri" w:hAnsi="Segoe UI" w:cs="Segoe UI"/>
          <w:sz w:val="20"/>
          <w:szCs w:val="20"/>
        </w:rPr>
        <w:t xml:space="preserve">discussion </w:t>
      </w:r>
      <w:r w:rsidR="00315334" w:rsidRPr="00BB4D81">
        <w:rPr>
          <w:rFonts w:ascii="Segoe UI" w:eastAsia="Calibri" w:hAnsi="Segoe UI" w:cs="Segoe UI"/>
          <w:sz w:val="20"/>
          <w:szCs w:val="20"/>
        </w:rPr>
        <w:t>was based on the survey findings and the desk based review.</w:t>
      </w:r>
      <w:r w:rsidR="005F296C" w:rsidRPr="00BB4D81">
        <w:rPr>
          <w:rFonts w:ascii="Segoe UI" w:eastAsia="Calibri" w:hAnsi="Segoe UI" w:cs="Segoe UI"/>
          <w:sz w:val="20"/>
          <w:szCs w:val="20"/>
        </w:rPr>
        <w:t xml:space="preserve"> </w:t>
      </w:r>
    </w:p>
    <w:p w14:paraId="2E7D875B" w14:textId="3865ED2D" w:rsidR="002E60A4" w:rsidRPr="00BB4D81" w:rsidRDefault="002E60A4" w:rsidP="002E60A4">
      <w:pPr>
        <w:contextualSpacing/>
        <w:jc w:val="both"/>
        <w:rPr>
          <w:rFonts w:ascii="Segoe UI" w:eastAsia="Calibri" w:hAnsi="Segoe UI" w:cs="Segoe UI"/>
          <w:sz w:val="20"/>
          <w:szCs w:val="20"/>
        </w:rPr>
      </w:pPr>
      <w:r w:rsidRPr="00BB4D81">
        <w:rPr>
          <w:rFonts w:ascii="Segoe UI" w:eastAsia="Calibri" w:hAnsi="Segoe UI" w:cs="Segoe UI"/>
          <w:sz w:val="20"/>
          <w:szCs w:val="20"/>
        </w:rPr>
        <w:t>It is intended that as part of the PPA guidelines, it is foreseen to provide a definition of what would be considered a significant change and to outline the resulting actions for</w:t>
      </w:r>
      <w:r w:rsidR="004059C9" w:rsidRPr="00BB4D81">
        <w:rPr>
          <w:rFonts w:ascii="Segoe UI" w:eastAsia="Calibri" w:hAnsi="Segoe UI" w:cs="Segoe UI"/>
          <w:sz w:val="20"/>
          <w:szCs w:val="20"/>
        </w:rPr>
        <w:t xml:space="preserve"> the</w:t>
      </w:r>
      <w:r w:rsidRPr="00BB4D81">
        <w:rPr>
          <w:rFonts w:ascii="Segoe UI" w:eastAsia="Calibri" w:hAnsi="Segoe UI" w:cs="Segoe UI"/>
          <w:sz w:val="20"/>
          <w:szCs w:val="20"/>
        </w:rPr>
        <w:t xml:space="preserve"> BE/TE and for MS CA’s in this regard. WP5 has drafted a proposed definition, ‘any change of the tissue and cell product with a risk category of orange and red according to EUROGTPII tool risk assessment or any blood product included in category A or B according to ANSM classification.’ This will be circulated to the GAPP members for comment and will be </w:t>
      </w:r>
      <w:r w:rsidR="00FA71F7" w:rsidRPr="00BB4D81">
        <w:rPr>
          <w:rFonts w:ascii="Segoe UI" w:eastAsia="Calibri" w:hAnsi="Segoe UI" w:cs="Segoe UI"/>
          <w:sz w:val="20"/>
          <w:szCs w:val="20"/>
        </w:rPr>
        <w:t>modified</w:t>
      </w:r>
      <w:r w:rsidRPr="00BB4D81">
        <w:rPr>
          <w:rFonts w:ascii="Segoe UI" w:eastAsia="Calibri" w:hAnsi="Segoe UI" w:cs="Segoe UI"/>
          <w:sz w:val="20"/>
          <w:szCs w:val="20"/>
        </w:rPr>
        <w:t xml:space="preserve"> as necessary if EUROGTPII is adapted to incorporate blood.</w:t>
      </w:r>
    </w:p>
    <w:p w14:paraId="4E7D5C25" w14:textId="5DE46454" w:rsidR="00484C5B" w:rsidRPr="00BB4D81" w:rsidRDefault="005F296C" w:rsidP="007D1C92">
      <w:pPr>
        <w:jc w:val="both"/>
        <w:rPr>
          <w:rFonts w:ascii="Segoe UI" w:eastAsia="Calibri" w:hAnsi="Segoe UI" w:cs="Segoe UI"/>
          <w:sz w:val="20"/>
          <w:szCs w:val="20"/>
        </w:rPr>
      </w:pPr>
      <w:r w:rsidRPr="00BB4D81">
        <w:rPr>
          <w:rFonts w:ascii="Segoe UI" w:eastAsia="Calibri" w:hAnsi="Segoe UI" w:cs="Segoe UI"/>
          <w:sz w:val="20"/>
          <w:szCs w:val="20"/>
        </w:rPr>
        <w:t xml:space="preserve">Opinions were sought on risk based grading of changes and linking to regulatory / authorisation requirements. It was </w:t>
      </w:r>
      <w:r w:rsidR="004059C9" w:rsidRPr="00BB4D81">
        <w:rPr>
          <w:rFonts w:ascii="Segoe UI" w:eastAsia="Calibri" w:hAnsi="Segoe UI" w:cs="Segoe UI"/>
          <w:sz w:val="20"/>
          <w:szCs w:val="20"/>
        </w:rPr>
        <w:t xml:space="preserve">initially </w:t>
      </w:r>
      <w:r w:rsidRPr="00BB4D81">
        <w:rPr>
          <w:rFonts w:ascii="Segoe UI" w:eastAsia="Calibri" w:hAnsi="Segoe UI" w:cs="Segoe UI"/>
          <w:sz w:val="20"/>
          <w:szCs w:val="20"/>
        </w:rPr>
        <w:t xml:space="preserve">proposed that the EUROGTPII based risk categorisation is used for tissues and cells, with the variation categories for blood clearly aligned to the definitions associated with the risk categories of A, </w:t>
      </w:r>
      <w:r w:rsidR="004059C9" w:rsidRPr="00BB4D81">
        <w:rPr>
          <w:rFonts w:ascii="Segoe UI" w:eastAsia="Calibri" w:hAnsi="Segoe UI" w:cs="Segoe UI"/>
          <w:sz w:val="20"/>
          <w:szCs w:val="20"/>
        </w:rPr>
        <w:t xml:space="preserve">B, C and D of the ANSM guidance, however if EUROGTPII can be adapted for blood this would be considered as </w:t>
      </w:r>
      <w:r w:rsidR="008036FD" w:rsidRPr="00BB4D81">
        <w:rPr>
          <w:rFonts w:ascii="Segoe UI" w:eastAsia="Calibri" w:hAnsi="Segoe UI" w:cs="Segoe UI"/>
          <w:sz w:val="20"/>
          <w:szCs w:val="20"/>
        </w:rPr>
        <w:t xml:space="preserve">the </w:t>
      </w:r>
      <w:r w:rsidR="004059C9" w:rsidRPr="00BB4D81">
        <w:rPr>
          <w:rFonts w:ascii="Segoe UI" w:eastAsia="Calibri" w:hAnsi="Segoe UI" w:cs="Segoe UI"/>
          <w:sz w:val="20"/>
          <w:szCs w:val="20"/>
        </w:rPr>
        <w:t>option</w:t>
      </w:r>
      <w:r w:rsidR="008036FD" w:rsidRPr="00BB4D81">
        <w:rPr>
          <w:rFonts w:ascii="Segoe UI" w:eastAsia="Calibri" w:hAnsi="Segoe UI" w:cs="Segoe UI"/>
          <w:sz w:val="20"/>
          <w:szCs w:val="20"/>
        </w:rPr>
        <w:t xml:space="preserve"> of choice</w:t>
      </w:r>
      <w:r w:rsidR="004059C9" w:rsidRPr="00BB4D81">
        <w:rPr>
          <w:rFonts w:ascii="Segoe UI" w:eastAsia="Calibri" w:hAnsi="Segoe UI" w:cs="Segoe UI"/>
          <w:sz w:val="20"/>
          <w:szCs w:val="20"/>
        </w:rPr>
        <w:t>.</w:t>
      </w:r>
    </w:p>
    <w:p w14:paraId="2B58696F" w14:textId="77777777" w:rsidR="00C922D8" w:rsidRPr="00BB4D81" w:rsidRDefault="00C922D8" w:rsidP="007D1C92">
      <w:pPr>
        <w:jc w:val="both"/>
        <w:rPr>
          <w:rFonts w:ascii="Segoe UI" w:eastAsia="Calibri" w:hAnsi="Segoe UI" w:cs="Segoe UI"/>
          <w:sz w:val="20"/>
          <w:szCs w:val="20"/>
        </w:rPr>
      </w:pPr>
    </w:p>
    <w:p w14:paraId="77679FB9" w14:textId="0E6631D5" w:rsidR="008F1340" w:rsidRPr="007857CF" w:rsidRDefault="008F1340" w:rsidP="008F1340">
      <w:pPr>
        <w:pStyle w:val="Heading2"/>
        <w:numPr>
          <w:ilvl w:val="0"/>
          <w:numId w:val="3"/>
        </w:numPr>
        <w:rPr>
          <w:rFonts w:eastAsia="Times New Roman"/>
          <w:b/>
          <w:lang w:eastAsia="en-US"/>
        </w:rPr>
      </w:pPr>
      <w:bookmarkStart w:id="10" w:name="_Toc48388677"/>
      <w:r w:rsidRPr="007857CF">
        <w:rPr>
          <w:rFonts w:eastAsia="Times New Roman"/>
          <w:b/>
          <w:lang w:eastAsia="en-US"/>
        </w:rPr>
        <w:t>Part D</w:t>
      </w:r>
      <w:bookmarkEnd w:id="10"/>
    </w:p>
    <w:p w14:paraId="6B5249C8" w14:textId="77777777" w:rsidR="008F1340" w:rsidRPr="00BB4D81" w:rsidRDefault="008F1340" w:rsidP="005C48BA">
      <w:pPr>
        <w:pStyle w:val="Heading3"/>
        <w:jc w:val="both"/>
        <w:rPr>
          <w:rFonts w:eastAsia="Times New Roman"/>
          <w:lang w:eastAsia="en-US"/>
        </w:rPr>
      </w:pPr>
    </w:p>
    <w:p w14:paraId="1EAE25B4" w14:textId="5EBBC92B" w:rsidR="0092111D" w:rsidRPr="007857CF" w:rsidRDefault="0092111D" w:rsidP="0092111D">
      <w:pPr>
        <w:pStyle w:val="Heading3"/>
        <w:jc w:val="both"/>
        <w:rPr>
          <w:rFonts w:eastAsia="Times New Roman"/>
          <w:b/>
          <w:lang w:eastAsia="en-US"/>
        </w:rPr>
      </w:pPr>
      <w:bookmarkStart w:id="11" w:name="_Toc48388678"/>
      <w:r w:rsidRPr="007857CF">
        <w:rPr>
          <w:rFonts w:eastAsia="Times New Roman"/>
          <w:b/>
          <w:lang w:eastAsia="en-US"/>
        </w:rPr>
        <w:t>Review and Evaluation</w:t>
      </w:r>
      <w:bookmarkEnd w:id="11"/>
    </w:p>
    <w:p w14:paraId="752CE17A" w14:textId="15D197D0" w:rsidR="0092111D" w:rsidRPr="00BB4D81" w:rsidRDefault="0092111D" w:rsidP="0092111D">
      <w:pPr>
        <w:jc w:val="both"/>
        <w:rPr>
          <w:rFonts w:ascii="Segoe UI" w:eastAsia="Calibri" w:hAnsi="Segoe UI" w:cs="Segoe UI"/>
          <w:sz w:val="20"/>
          <w:szCs w:val="20"/>
        </w:rPr>
      </w:pPr>
    </w:p>
    <w:p w14:paraId="24B9B612" w14:textId="6941F67F" w:rsidR="00BB2994" w:rsidRPr="007857CF" w:rsidRDefault="00BB2994" w:rsidP="0092111D">
      <w:pPr>
        <w:jc w:val="both"/>
        <w:rPr>
          <w:rFonts w:ascii="Segoe UI" w:eastAsia="Calibri" w:hAnsi="Segoe UI" w:cs="Segoe UI"/>
          <w:b/>
          <w:sz w:val="20"/>
          <w:szCs w:val="20"/>
        </w:rPr>
      </w:pPr>
      <w:r w:rsidRPr="007857CF">
        <w:rPr>
          <w:rFonts w:ascii="Segoe UI" w:eastAsia="Calibri" w:hAnsi="Segoe UI" w:cs="Segoe UI"/>
          <w:b/>
          <w:sz w:val="20"/>
          <w:szCs w:val="20"/>
        </w:rPr>
        <w:t>Review and Evaluation – WP5 Survey</w:t>
      </w:r>
    </w:p>
    <w:p w14:paraId="1259B063" w14:textId="5794FAC6" w:rsidR="00BB2994" w:rsidRPr="00BB4D81" w:rsidRDefault="00BB2994" w:rsidP="00BB2994">
      <w:pPr>
        <w:jc w:val="both"/>
        <w:rPr>
          <w:rFonts w:ascii="Segoe UI" w:eastAsia="Calibri" w:hAnsi="Segoe UI" w:cs="Segoe UI"/>
          <w:sz w:val="20"/>
          <w:szCs w:val="20"/>
        </w:rPr>
      </w:pPr>
      <w:r w:rsidRPr="00BB4D81">
        <w:rPr>
          <w:rFonts w:ascii="Segoe UI" w:eastAsia="Calibri" w:hAnsi="Segoe UI" w:cs="Segoe UI"/>
          <w:sz w:val="20"/>
          <w:szCs w:val="20"/>
        </w:rPr>
        <w:t xml:space="preserve">The survey aimed to determine if there were a specific set of </w:t>
      </w:r>
      <w:r w:rsidR="005647FB" w:rsidRPr="00BB4D81">
        <w:rPr>
          <w:rFonts w:ascii="Segoe UI" w:eastAsia="Calibri" w:hAnsi="Segoe UI" w:cs="Segoe UI"/>
          <w:sz w:val="20"/>
          <w:szCs w:val="20"/>
        </w:rPr>
        <w:t>documents, which</w:t>
      </w:r>
      <w:r w:rsidRPr="00BB4D81">
        <w:rPr>
          <w:rFonts w:ascii="Segoe UI" w:eastAsia="Calibri" w:hAnsi="Segoe UI" w:cs="Segoe UI"/>
          <w:sz w:val="20"/>
          <w:szCs w:val="20"/>
        </w:rPr>
        <w:t xml:space="preserve"> provide guidance to CAs or other relevant bodies in relation to the review / evaluation of data to be submitted to support an application for product authorisation. Only 3 CAs actually responded indic</w:t>
      </w:r>
      <w:r w:rsidR="00050FD6" w:rsidRPr="00BB4D81">
        <w:rPr>
          <w:rFonts w:ascii="Segoe UI" w:eastAsia="Calibri" w:hAnsi="Segoe UI" w:cs="Segoe UI"/>
          <w:sz w:val="20"/>
          <w:szCs w:val="20"/>
        </w:rPr>
        <w:t>ating that guidance was in place (3/19).</w:t>
      </w:r>
      <w:r w:rsidRPr="00BB4D81">
        <w:rPr>
          <w:rFonts w:ascii="Segoe UI" w:eastAsia="Calibri" w:hAnsi="Segoe UI" w:cs="Segoe UI"/>
          <w:sz w:val="20"/>
          <w:szCs w:val="20"/>
        </w:rPr>
        <w:t xml:space="preserve"> </w:t>
      </w:r>
    </w:p>
    <w:p w14:paraId="0A9A82C4" w14:textId="2A50718B" w:rsidR="00854DB5" w:rsidRPr="00BB4D81" w:rsidRDefault="00854DB5" w:rsidP="00854DB5">
      <w:pPr>
        <w:jc w:val="both"/>
        <w:rPr>
          <w:rFonts w:ascii="Segoe UI" w:eastAsia="Calibri" w:hAnsi="Segoe UI" w:cs="Segoe UI"/>
          <w:sz w:val="20"/>
          <w:szCs w:val="20"/>
        </w:rPr>
      </w:pPr>
      <w:r w:rsidRPr="00BB4D81">
        <w:rPr>
          <w:rFonts w:ascii="Segoe UI" w:eastAsia="Calibri" w:hAnsi="Segoe UI" w:cs="Segoe UI"/>
          <w:sz w:val="20"/>
          <w:szCs w:val="20"/>
        </w:rPr>
        <w:t xml:space="preserve">From the survey, </w:t>
      </w:r>
      <w:r w:rsidR="00050FD6" w:rsidRPr="00BB4D81">
        <w:rPr>
          <w:rFonts w:ascii="Segoe UI" w:eastAsia="Calibri" w:hAnsi="Segoe UI" w:cs="Segoe UI"/>
          <w:sz w:val="20"/>
          <w:szCs w:val="20"/>
        </w:rPr>
        <w:t>as above,</w:t>
      </w:r>
      <w:r w:rsidRPr="00BB4D81">
        <w:rPr>
          <w:rFonts w:ascii="Segoe UI" w:eastAsia="Calibri" w:hAnsi="Segoe UI" w:cs="Segoe UI"/>
          <w:sz w:val="20"/>
          <w:szCs w:val="20"/>
        </w:rPr>
        <w:t xml:space="preserve"> we’ve seen that only 3 CAs indicated that they have guidance on the identification and evaluation of ‘checkpoints’ for authorisation, with one of the CAs indicating that they also had a defined algorithm for the evaluation of data submitted in support of an application for authorisation.</w:t>
      </w:r>
    </w:p>
    <w:p w14:paraId="571E43DC" w14:textId="0EE1CF73" w:rsidR="001B2B5B" w:rsidRPr="007857CF" w:rsidRDefault="001B2B5B" w:rsidP="001B2B5B">
      <w:pPr>
        <w:jc w:val="both"/>
        <w:rPr>
          <w:rFonts w:ascii="Segoe UI" w:eastAsia="Calibri" w:hAnsi="Segoe UI" w:cs="Segoe UI"/>
          <w:b/>
          <w:sz w:val="20"/>
          <w:szCs w:val="20"/>
        </w:rPr>
      </w:pPr>
      <w:r w:rsidRPr="007857CF">
        <w:rPr>
          <w:rFonts w:ascii="Segoe UI" w:eastAsia="Calibri" w:hAnsi="Segoe UI" w:cs="Segoe UI"/>
          <w:b/>
          <w:sz w:val="20"/>
          <w:szCs w:val="20"/>
        </w:rPr>
        <w:t>Review and Evaluation – Desk-Based Review</w:t>
      </w:r>
    </w:p>
    <w:p w14:paraId="45974DD5" w14:textId="28C2F3C5" w:rsidR="001B2B5B" w:rsidRPr="00BB4D81" w:rsidRDefault="001B2B5B" w:rsidP="001B2B5B">
      <w:pPr>
        <w:jc w:val="both"/>
        <w:rPr>
          <w:rFonts w:ascii="Segoe UI" w:eastAsia="Calibri" w:hAnsi="Segoe UI" w:cs="Segoe UI"/>
          <w:sz w:val="20"/>
          <w:szCs w:val="20"/>
        </w:rPr>
      </w:pPr>
      <w:r w:rsidRPr="00BB4D81">
        <w:rPr>
          <w:rFonts w:ascii="Segoe UI" w:eastAsia="Calibri" w:hAnsi="Segoe UI" w:cs="Segoe UI"/>
          <w:sz w:val="20"/>
          <w:szCs w:val="20"/>
        </w:rPr>
        <w:t xml:space="preserve">A proposed ‘algorithm’ from WP5B in discussed below.  </w:t>
      </w:r>
      <w:r w:rsidR="005647FB" w:rsidRPr="00BB4D81">
        <w:rPr>
          <w:rFonts w:ascii="Segoe UI" w:eastAsia="Calibri" w:hAnsi="Segoe UI" w:cs="Segoe UI"/>
          <w:sz w:val="20"/>
          <w:szCs w:val="20"/>
        </w:rPr>
        <w:t>Based on</w:t>
      </w:r>
      <w:r w:rsidRPr="00BB4D81">
        <w:rPr>
          <w:rFonts w:ascii="Segoe UI" w:eastAsia="Calibri" w:hAnsi="Segoe UI" w:cs="Segoe UI"/>
          <w:sz w:val="20"/>
          <w:szCs w:val="20"/>
        </w:rPr>
        <w:t xml:space="preserve"> our </w:t>
      </w:r>
      <w:r w:rsidR="005647FB" w:rsidRPr="00BB4D81">
        <w:rPr>
          <w:rFonts w:ascii="Segoe UI" w:eastAsia="Calibri" w:hAnsi="Segoe UI" w:cs="Segoe UI"/>
          <w:sz w:val="20"/>
          <w:szCs w:val="20"/>
        </w:rPr>
        <w:t>desk-based</w:t>
      </w:r>
      <w:r w:rsidRPr="00BB4D81">
        <w:rPr>
          <w:rFonts w:ascii="Segoe UI" w:eastAsia="Calibri" w:hAnsi="Segoe UI" w:cs="Segoe UI"/>
          <w:sz w:val="20"/>
          <w:szCs w:val="20"/>
        </w:rPr>
        <w:t xml:space="preserve"> review we are not aware of any such algorithms in place in other fields. </w:t>
      </w:r>
    </w:p>
    <w:p w14:paraId="40499A92" w14:textId="621CD06A" w:rsidR="001B2B5B" w:rsidRPr="00BB4D81" w:rsidRDefault="001B2B5B" w:rsidP="001B2B5B">
      <w:pPr>
        <w:jc w:val="both"/>
        <w:rPr>
          <w:rFonts w:ascii="Segoe UI" w:eastAsia="Calibri" w:hAnsi="Segoe UI" w:cs="Segoe UI"/>
          <w:sz w:val="20"/>
          <w:szCs w:val="20"/>
        </w:rPr>
      </w:pPr>
      <w:r w:rsidRPr="00BB4D81">
        <w:rPr>
          <w:rFonts w:ascii="Segoe UI" w:eastAsia="Calibri" w:hAnsi="Segoe UI" w:cs="Segoe UI"/>
          <w:sz w:val="20"/>
          <w:szCs w:val="20"/>
        </w:rPr>
        <w:t xml:space="preserve">In relation to the review of medical devices by a notified body, it is indicated that the notified body shall, having verified the quality of clinical data supporting the clinical evaluation report of the manufacturer), prepare a clinical evaluation assessment report which sets out its conclusions concerning the clinical evidence provided by the manufacturer, in particular concerning the benefit-risk determination, the consistency of that evidence with the intended purpose, including the medical indication or indications and the </w:t>
      </w:r>
      <w:r w:rsidR="00BD3500">
        <w:rPr>
          <w:rFonts w:ascii="Segoe UI" w:eastAsia="Calibri" w:hAnsi="Segoe UI" w:cs="Segoe UI"/>
          <w:sz w:val="20"/>
          <w:szCs w:val="20"/>
        </w:rPr>
        <w:t>post market clinical follow up (</w:t>
      </w:r>
      <w:r w:rsidRPr="00BB4D81">
        <w:rPr>
          <w:rFonts w:ascii="Segoe UI" w:eastAsia="Calibri" w:hAnsi="Segoe UI" w:cs="Segoe UI"/>
          <w:sz w:val="20"/>
          <w:szCs w:val="20"/>
        </w:rPr>
        <w:t>PMCF</w:t>
      </w:r>
      <w:r w:rsidR="00BD3500">
        <w:rPr>
          <w:rFonts w:ascii="Segoe UI" w:eastAsia="Calibri" w:hAnsi="Segoe UI" w:cs="Segoe UI"/>
          <w:sz w:val="20"/>
          <w:szCs w:val="20"/>
        </w:rPr>
        <w:t>)</w:t>
      </w:r>
      <w:r w:rsidRPr="00BB4D81">
        <w:rPr>
          <w:rFonts w:ascii="Segoe UI" w:eastAsia="Calibri" w:hAnsi="Segoe UI" w:cs="Segoe UI"/>
          <w:sz w:val="20"/>
          <w:szCs w:val="20"/>
        </w:rPr>
        <w:t xml:space="preserve"> plan.</w:t>
      </w:r>
    </w:p>
    <w:p w14:paraId="5EB9F3F3" w14:textId="7447708D" w:rsidR="00854DB5" w:rsidRPr="007857CF" w:rsidRDefault="00102B8B" w:rsidP="00BB2994">
      <w:pPr>
        <w:jc w:val="both"/>
        <w:rPr>
          <w:rFonts w:ascii="Segoe UI" w:eastAsia="Calibri" w:hAnsi="Segoe UI" w:cs="Segoe UI"/>
          <w:b/>
          <w:sz w:val="20"/>
          <w:szCs w:val="20"/>
        </w:rPr>
      </w:pPr>
      <w:r w:rsidRPr="007857CF">
        <w:rPr>
          <w:rFonts w:ascii="Segoe UI" w:eastAsia="Calibri" w:hAnsi="Segoe UI" w:cs="Segoe UI"/>
          <w:b/>
          <w:sz w:val="20"/>
          <w:szCs w:val="20"/>
        </w:rPr>
        <w:t>ANSM</w:t>
      </w:r>
    </w:p>
    <w:p w14:paraId="463AAE2E" w14:textId="5C028E6E" w:rsidR="00102B8B" w:rsidRPr="007857CF" w:rsidRDefault="00102B8B" w:rsidP="00102B8B">
      <w:pPr>
        <w:jc w:val="both"/>
        <w:rPr>
          <w:rFonts w:eastAsia="Times New Roman" w:cstheme="minorHAnsi"/>
          <w:lang w:eastAsia="en-IE"/>
        </w:rPr>
      </w:pPr>
      <w:r w:rsidRPr="007857CF">
        <w:rPr>
          <w:rFonts w:eastAsia="Times New Roman" w:cstheme="minorHAnsi"/>
          <w:lang w:eastAsia="en-IE"/>
        </w:rPr>
        <w:t xml:space="preserve">The technical evaluation of the files submitted for </w:t>
      </w:r>
      <w:r w:rsidR="000A2B65" w:rsidRPr="007857CF">
        <w:rPr>
          <w:rFonts w:eastAsia="Times New Roman" w:cstheme="minorHAnsi"/>
          <w:lang w:eastAsia="en-IE"/>
        </w:rPr>
        <w:t>authori</w:t>
      </w:r>
      <w:r w:rsidR="000A2B65">
        <w:rPr>
          <w:rFonts w:eastAsia="Times New Roman" w:cstheme="minorHAnsi"/>
          <w:lang w:eastAsia="en-IE"/>
        </w:rPr>
        <w:t>s</w:t>
      </w:r>
      <w:r w:rsidR="000A2B65" w:rsidRPr="007857CF">
        <w:rPr>
          <w:rFonts w:eastAsia="Times New Roman" w:cstheme="minorHAnsi"/>
          <w:lang w:eastAsia="en-IE"/>
        </w:rPr>
        <w:t xml:space="preserve">ation </w:t>
      </w:r>
      <w:r w:rsidR="000A2B65">
        <w:rPr>
          <w:rFonts w:eastAsia="Times New Roman" w:cstheme="minorHAnsi"/>
          <w:lang w:eastAsia="en-IE"/>
        </w:rPr>
        <w:t xml:space="preserve">of </w:t>
      </w:r>
      <w:r w:rsidRPr="007857CF">
        <w:rPr>
          <w:rFonts w:eastAsia="Times New Roman" w:cstheme="minorHAnsi"/>
          <w:lang w:eastAsia="en-IE"/>
        </w:rPr>
        <w:t>new blood products or modifications of existing ones is based on internal evaluation and external evaluation. External evaluation relies on expert members of the Group of Experts for the Evaluation of Liable Blood Products (GTE-PSL) or appointed rapporteurs with this group. Whether they are members or rapporteurs appointed to the group, the experts are subject to a public declaration of interest.</w:t>
      </w:r>
    </w:p>
    <w:p w14:paraId="295DC7A3" w14:textId="5666F1AB" w:rsidR="00102B8B" w:rsidRPr="007857CF" w:rsidRDefault="00102B8B" w:rsidP="00102B8B">
      <w:pPr>
        <w:jc w:val="both"/>
        <w:rPr>
          <w:rFonts w:eastAsia="Times New Roman" w:cstheme="minorHAnsi"/>
          <w:lang w:eastAsia="en-IE"/>
        </w:rPr>
      </w:pPr>
      <w:r w:rsidRPr="007857CF">
        <w:rPr>
          <w:rFonts w:eastAsia="Times New Roman" w:cstheme="minorHAnsi"/>
          <w:lang w:eastAsia="en-IE"/>
        </w:rPr>
        <w:t>The assessment of blood products files may also require referral to other ANSM expert groups, particularly in the areas of viral safety or toxicology.</w:t>
      </w:r>
    </w:p>
    <w:p w14:paraId="2BBC2248" w14:textId="77777777" w:rsidR="00102B8B" w:rsidRPr="007857CF" w:rsidRDefault="00102B8B" w:rsidP="00102B8B">
      <w:pPr>
        <w:jc w:val="both"/>
        <w:rPr>
          <w:rFonts w:eastAsia="Times New Roman" w:cstheme="minorHAnsi"/>
          <w:lang w:eastAsia="en-IE"/>
        </w:rPr>
      </w:pPr>
      <w:r w:rsidRPr="007857CF">
        <w:rPr>
          <w:rFonts w:eastAsia="Times New Roman" w:cstheme="minorHAnsi"/>
          <w:lang w:eastAsia="en-IE"/>
        </w:rPr>
        <w:t>As a result, the processing time of a request for evaluation by the ANSM covers:</w:t>
      </w:r>
    </w:p>
    <w:p w14:paraId="6B7BF65A" w14:textId="77777777" w:rsidR="00102B8B" w:rsidRPr="007857CF" w:rsidRDefault="00102B8B" w:rsidP="00102B8B">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the period of assessment of the admissibility of the file;</w:t>
      </w:r>
    </w:p>
    <w:p w14:paraId="0DA6BE81" w14:textId="77777777" w:rsidR="00102B8B" w:rsidRPr="007857CF" w:rsidRDefault="00102B8B" w:rsidP="00102B8B">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the technical evaluation period of the file;</w:t>
      </w:r>
    </w:p>
    <w:p w14:paraId="50E70C3E" w14:textId="77777777" w:rsidR="00102B8B" w:rsidRPr="007857CF" w:rsidRDefault="00102B8B" w:rsidP="00102B8B">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the possible period of request for additional information in view of the initial technical assessment;</w:t>
      </w:r>
    </w:p>
    <w:p w14:paraId="4ACD74E6" w14:textId="77777777" w:rsidR="00102B8B" w:rsidRPr="007857CF" w:rsidRDefault="00102B8B" w:rsidP="00102B8B">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the period of appointment of the external rapporteurs;</w:t>
      </w:r>
    </w:p>
    <w:p w14:paraId="470A753E" w14:textId="77777777" w:rsidR="00102B8B" w:rsidRPr="007857CF" w:rsidRDefault="00102B8B" w:rsidP="00102B8B">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the period of programming of the file in the group or groups of experts;</w:t>
      </w:r>
    </w:p>
    <w:p w14:paraId="7740B59E" w14:textId="77777777" w:rsidR="00102B8B" w:rsidRPr="007857CF" w:rsidRDefault="00102B8B" w:rsidP="00102B8B">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the drafting period of the expert panel's statement of opinion;</w:t>
      </w:r>
    </w:p>
    <w:p w14:paraId="08847666" w14:textId="77777777" w:rsidR="00102B8B" w:rsidRPr="007857CF" w:rsidRDefault="00102B8B" w:rsidP="00102B8B">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the period of final approval of the statement of opinion by the experts.</w:t>
      </w:r>
    </w:p>
    <w:p w14:paraId="1C20A14C" w14:textId="77777777" w:rsidR="00102B8B" w:rsidRPr="000A2B65" w:rsidRDefault="00102B8B" w:rsidP="00BB2994">
      <w:pPr>
        <w:jc w:val="both"/>
        <w:rPr>
          <w:rFonts w:ascii="Segoe UI" w:eastAsia="Calibri" w:hAnsi="Segoe UI" w:cs="Segoe UI"/>
          <w:sz w:val="20"/>
          <w:szCs w:val="20"/>
        </w:rPr>
      </w:pPr>
    </w:p>
    <w:p w14:paraId="54B55F22" w14:textId="1473B039" w:rsidR="00102B8B" w:rsidRPr="007857CF" w:rsidRDefault="00BB0B55" w:rsidP="00BB2994">
      <w:pPr>
        <w:jc w:val="both"/>
        <w:rPr>
          <w:rFonts w:ascii="Segoe UI" w:eastAsia="Calibri" w:hAnsi="Segoe UI" w:cs="Segoe UI"/>
          <w:b/>
          <w:sz w:val="20"/>
          <w:szCs w:val="20"/>
          <w:vertAlign w:val="superscript"/>
        </w:rPr>
      </w:pPr>
      <w:r w:rsidRPr="007857CF">
        <w:rPr>
          <w:rFonts w:ascii="Segoe UI" w:eastAsia="Calibri" w:hAnsi="Segoe UI" w:cs="Segoe UI"/>
          <w:b/>
          <w:sz w:val="20"/>
          <w:szCs w:val="20"/>
        </w:rPr>
        <w:t>JPAC</w:t>
      </w:r>
      <w:r w:rsidR="00ED6C53">
        <w:rPr>
          <w:rFonts w:ascii="Segoe UI" w:eastAsia="Calibri" w:hAnsi="Segoe UI" w:cs="Segoe UI"/>
          <w:b/>
          <w:sz w:val="20"/>
          <w:szCs w:val="20"/>
          <w:vertAlign w:val="superscript"/>
        </w:rPr>
        <w:t>4</w:t>
      </w:r>
    </w:p>
    <w:p w14:paraId="4F7F4DDF" w14:textId="691F0C18" w:rsidR="00BB0B55" w:rsidRPr="007857CF" w:rsidRDefault="008033F8" w:rsidP="00BB2994">
      <w:pPr>
        <w:jc w:val="both"/>
        <w:rPr>
          <w:rFonts w:ascii="Segoe UI" w:eastAsia="Calibri" w:hAnsi="Segoe UI" w:cs="Segoe UI"/>
          <w:sz w:val="20"/>
          <w:szCs w:val="20"/>
        </w:rPr>
      </w:pPr>
      <w:r w:rsidRPr="007857CF">
        <w:rPr>
          <w:rFonts w:ascii="Segoe UI" w:eastAsia="Calibri" w:hAnsi="Segoe UI" w:cs="Segoe UI"/>
          <w:sz w:val="20"/>
          <w:szCs w:val="20"/>
        </w:rPr>
        <w:t>JPAC has a procedure to review and evaluate new blood components, production process or blood pack. The aim of the evaluation is:</w:t>
      </w:r>
    </w:p>
    <w:p w14:paraId="0DBDD4D3" w14:textId="77777777" w:rsidR="008033F8" w:rsidRPr="007857CF" w:rsidRDefault="008033F8" w:rsidP="008033F8">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gain sufficient data to validate the component and production method</w:t>
      </w:r>
    </w:p>
    <w:p w14:paraId="28CD9F9C" w14:textId="77777777" w:rsidR="008033F8" w:rsidRPr="007857CF" w:rsidRDefault="008033F8" w:rsidP="008033F8">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gain sufficient data to support the clinical use of the component</w:t>
      </w:r>
    </w:p>
    <w:p w14:paraId="6C569835" w14:textId="77777777" w:rsidR="008033F8" w:rsidRPr="007857CF" w:rsidRDefault="008033F8" w:rsidP="008033F8">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allow the Standing Advisory Committee on Blood Components (SACBC) to recommend to the Joint UKBTS/HPA Professional Advisory Committee (JPAC) that the component should be included in the Red Book</w:t>
      </w:r>
    </w:p>
    <w:p w14:paraId="46FCC73D" w14:textId="77777777" w:rsidR="008033F8" w:rsidRPr="007857CF" w:rsidRDefault="008033F8" w:rsidP="008033F8">
      <w:pPr>
        <w:pStyle w:val="ListParagraph"/>
        <w:numPr>
          <w:ilvl w:val="0"/>
          <w:numId w:val="51"/>
        </w:numPr>
        <w:spacing w:after="0" w:line="240" w:lineRule="auto"/>
        <w:jc w:val="both"/>
        <w:rPr>
          <w:rFonts w:eastAsia="Times New Roman" w:cstheme="minorHAnsi"/>
          <w:lang w:eastAsia="en-IE"/>
        </w:rPr>
      </w:pPr>
      <w:r w:rsidRPr="007857CF">
        <w:rPr>
          <w:rFonts w:eastAsia="Times New Roman" w:cstheme="minorHAnsi"/>
          <w:lang w:eastAsia="en-IE"/>
        </w:rPr>
        <w:t>provide sufficient information to prevent all Blood Transfusion Centres (other than those performing a full evaluation) from having to complete a full validation of the novel</w:t>
      </w:r>
      <w:r w:rsidRPr="007857CF">
        <w:rPr>
          <w:rFonts w:eastAsia="Times New Roman" w:cstheme="minorHAnsi"/>
          <w:lang w:eastAsia="en-IE"/>
        </w:rPr>
        <w:br/>
        <w:t>component before it enters routine production. They will only need to undertake installation</w:t>
      </w:r>
      <w:r w:rsidRPr="007857CF">
        <w:rPr>
          <w:rFonts w:eastAsia="Times New Roman" w:cstheme="minorHAnsi"/>
          <w:lang w:eastAsia="en-IE"/>
        </w:rPr>
        <w:br/>
        <w:t>and process qualification.</w:t>
      </w:r>
    </w:p>
    <w:p w14:paraId="4398E195" w14:textId="77777777" w:rsidR="008033F8" w:rsidRPr="007857CF" w:rsidRDefault="008033F8" w:rsidP="00BB2994">
      <w:pPr>
        <w:jc w:val="both"/>
        <w:rPr>
          <w:rFonts w:ascii="Segoe UI" w:eastAsia="Calibri" w:hAnsi="Segoe UI" w:cs="Segoe UI"/>
          <w:sz w:val="20"/>
          <w:szCs w:val="20"/>
        </w:rPr>
      </w:pPr>
    </w:p>
    <w:p w14:paraId="5B12DF6D" w14:textId="0C29883D" w:rsidR="008033F8" w:rsidRPr="007857CF" w:rsidRDefault="008033F8" w:rsidP="00BB2994">
      <w:pPr>
        <w:jc w:val="both"/>
        <w:rPr>
          <w:rFonts w:ascii="Segoe UI" w:eastAsia="Calibri" w:hAnsi="Segoe UI" w:cs="Segoe UI"/>
          <w:sz w:val="20"/>
          <w:szCs w:val="20"/>
        </w:rPr>
      </w:pPr>
      <w:r w:rsidRPr="007857CF">
        <w:rPr>
          <w:rFonts w:ascii="Segoe UI" w:eastAsia="Calibri" w:hAnsi="Segoe UI" w:cs="Segoe UI"/>
          <w:sz w:val="20"/>
          <w:szCs w:val="20"/>
        </w:rPr>
        <w:t>For that, JPAC propose the following steps:</w:t>
      </w:r>
    </w:p>
    <w:p w14:paraId="4EE484FC" w14:textId="796EB339" w:rsidR="008033F8" w:rsidRPr="007857CF" w:rsidRDefault="008033F8" w:rsidP="008033F8">
      <w:pPr>
        <w:pStyle w:val="ListParagraph"/>
        <w:numPr>
          <w:ilvl w:val="0"/>
          <w:numId w:val="53"/>
        </w:numPr>
        <w:jc w:val="both"/>
        <w:rPr>
          <w:rFonts w:ascii="Segoe UI" w:eastAsia="Calibri" w:hAnsi="Segoe UI" w:cs="Segoe UI"/>
          <w:sz w:val="20"/>
          <w:szCs w:val="20"/>
        </w:rPr>
      </w:pPr>
      <w:r w:rsidRPr="007857CF">
        <w:t>Investigators identify requirement for a novel blood component.</w:t>
      </w:r>
    </w:p>
    <w:p w14:paraId="6BE6E82B" w14:textId="47C747C4" w:rsidR="008033F8" w:rsidRPr="007857CF" w:rsidRDefault="008033F8" w:rsidP="008033F8">
      <w:pPr>
        <w:pStyle w:val="ListParagraph"/>
        <w:numPr>
          <w:ilvl w:val="0"/>
          <w:numId w:val="53"/>
        </w:numPr>
        <w:jc w:val="both"/>
        <w:rPr>
          <w:rFonts w:ascii="Segoe UI" w:eastAsia="Calibri" w:hAnsi="Segoe UI" w:cs="Segoe UI"/>
          <w:sz w:val="20"/>
          <w:szCs w:val="20"/>
        </w:rPr>
      </w:pPr>
      <w:r w:rsidRPr="007857CF">
        <w:t>Investigators may obtain initial advice from the Standing Advisory Committee on Blood Components Chair (SACBC) as to whether the component should be treated as novel.</w:t>
      </w:r>
    </w:p>
    <w:p w14:paraId="305C3CB7" w14:textId="5BB708B9" w:rsidR="008033F8" w:rsidRPr="007857CF" w:rsidRDefault="008033F8" w:rsidP="008033F8">
      <w:pPr>
        <w:pStyle w:val="ListParagraph"/>
        <w:numPr>
          <w:ilvl w:val="0"/>
          <w:numId w:val="53"/>
        </w:numPr>
        <w:jc w:val="both"/>
        <w:rPr>
          <w:rFonts w:ascii="Segoe UI" w:eastAsia="Calibri" w:hAnsi="Segoe UI" w:cs="Segoe UI"/>
          <w:sz w:val="20"/>
          <w:szCs w:val="20"/>
        </w:rPr>
      </w:pPr>
      <w:r w:rsidRPr="007857CF">
        <w:t>Characterise the new blood component:</w:t>
      </w:r>
    </w:p>
    <w:p w14:paraId="0D4D92AC" w14:textId="1FB08FE0" w:rsidR="008033F8" w:rsidRPr="007857CF" w:rsidRDefault="008033F8" w:rsidP="00BB2994">
      <w:pPr>
        <w:pStyle w:val="ListParagraph"/>
        <w:numPr>
          <w:ilvl w:val="1"/>
          <w:numId w:val="53"/>
        </w:numPr>
        <w:jc w:val="both"/>
        <w:rPr>
          <w:rFonts w:ascii="Segoe UI" w:eastAsia="Calibri" w:hAnsi="Segoe UI" w:cs="Segoe UI"/>
          <w:sz w:val="20"/>
          <w:szCs w:val="20"/>
        </w:rPr>
      </w:pPr>
      <w:r w:rsidRPr="007857CF">
        <w:t>Apply to the Standing Advisory Committee on Information Technology (SACIT) Chair for a development barcode.</w:t>
      </w:r>
    </w:p>
    <w:p w14:paraId="0EAC1F52" w14:textId="23853718" w:rsidR="00073658" w:rsidRPr="007857CF" w:rsidRDefault="00073658" w:rsidP="00BB2994">
      <w:pPr>
        <w:pStyle w:val="ListParagraph"/>
        <w:numPr>
          <w:ilvl w:val="1"/>
          <w:numId w:val="53"/>
        </w:numPr>
        <w:jc w:val="both"/>
        <w:rPr>
          <w:rFonts w:ascii="Segoe UI" w:eastAsia="Calibri" w:hAnsi="Segoe UI" w:cs="Segoe UI"/>
          <w:sz w:val="20"/>
          <w:szCs w:val="20"/>
        </w:rPr>
      </w:pPr>
      <w:r w:rsidRPr="007857CF">
        <w:t>Investigators define the intended specification for the blood component.</w:t>
      </w:r>
    </w:p>
    <w:p w14:paraId="489F5295" w14:textId="22481ED2" w:rsidR="00073658" w:rsidRPr="007857CF" w:rsidRDefault="00073658" w:rsidP="00BB2994">
      <w:pPr>
        <w:pStyle w:val="ListParagraph"/>
        <w:numPr>
          <w:ilvl w:val="1"/>
          <w:numId w:val="53"/>
        </w:numPr>
        <w:jc w:val="both"/>
        <w:rPr>
          <w:rFonts w:ascii="Segoe UI" w:eastAsia="Calibri" w:hAnsi="Segoe UI" w:cs="Segoe UI"/>
          <w:sz w:val="20"/>
          <w:szCs w:val="20"/>
        </w:rPr>
      </w:pPr>
      <w:r w:rsidRPr="007857CF">
        <w:t>Write the protocol for component evaluation.</w:t>
      </w:r>
    </w:p>
    <w:p w14:paraId="43D32C24" w14:textId="778D5125" w:rsidR="00073658" w:rsidRPr="007857CF" w:rsidRDefault="00073658" w:rsidP="00BB2994">
      <w:pPr>
        <w:pStyle w:val="ListParagraph"/>
        <w:numPr>
          <w:ilvl w:val="1"/>
          <w:numId w:val="53"/>
        </w:numPr>
        <w:jc w:val="both"/>
        <w:rPr>
          <w:rFonts w:ascii="Segoe UI" w:eastAsia="Calibri" w:hAnsi="Segoe UI" w:cs="Segoe UI"/>
          <w:sz w:val="20"/>
          <w:szCs w:val="20"/>
        </w:rPr>
      </w:pPr>
      <w:r w:rsidRPr="007857CF">
        <w:t>Investigators should ensure their protocol complies with the procedure of evaluation of novel blood components, production processes and blood packs, and may seek advice from the SACBC.</w:t>
      </w:r>
    </w:p>
    <w:p w14:paraId="0F629208" w14:textId="715D85BC" w:rsidR="00073658" w:rsidRPr="007857CF" w:rsidRDefault="00073658" w:rsidP="00BB2994">
      <w:pPr>
        <w:pStyle w:val="ListParagraph"/>
        <w:numPr>
          <w:ilvl w:val="1"/>
          <w:numId w:val="53"/>
        </w:numPr>
        <w:jc w:val="both"/>
        <w:rPr>
          <w:rFonts w:ascii="Segoe UI" w:eastAsia="Calibri" w:hAnsi="Segoe UI" w:cs="Segoe UI"/>
          <w:sz w:val="20"/>
          <w:szCs w:val="20"/>
        </w:rPr>
      </w:pPr>
      <w:r w:rsidRPr="007857CF">
        <w:t>Obtain ethics committee approval, if required.</w:t>
      </w:r>
    </w:p>
    <w:p w14:paraId="2BE0812C" w14:textId="5817F202" w:rsidR="00073658" w:rsidRPr="007857CF" w:rsidRDefault="00073658" w:rsidP="00BB2994">
      <w:pPr>
        <w:pStyle w:val="ListParagraph"/>
        <w:numPr>
          <w:ilvl w:val="1"/>
          <w:numId w:val="53"/>
        </w:numPr>
        <w:jc w:val="both"/>
        <w:rPr>
          <w:rFonts w:ascii="Segoe UI" w:eastAsia="Calibri" w:hAnsi="Segoe UI" w:cs="Segoe UI"/>
          <w:sz w:val="20"/>
          <w:szCs w:val="20"/>
        </w:rPr>
      </w:pPr>
      <w:r w:rsidRPr="007857CF">
        <w:t>Investigators apply protocol.</w:t>
      </w:r>
    </w:p>
    <w:p w14:paraId="29AC2369" w14:textId="14663DE4" w:rsidR="00073658" w:rsidRPr="007857CF" w:rsidRDefault="00073658" w:rsidP="00073658">
      <w:pPr>
        <w:pStyle w:val="ListParagraph"/>
        <w:numPr>
          <w:ilvl w:val="0"/>
          <w:numId w:val="53"/>
        </w:numPr>
        <w:jc w:val="both"/>
        <w:rPr>
          <w:rFonts w:ascii="Segoe UI" w:eastAsia="Calibri" w:hAnsi="Segoe UI" w:cs="Segoe UI"/>
          <w:sz w:val="20"/>
          <w:szCs w:val="20"/>
        </w:rPr>
      </w:pPr>
      <w:r w:rsidRPr="007857CF">
        <w:t>Obtain Standing Advisory Committee on Blood Components (SACBC) listing of the component</w:t>
      </w:r>
    </w:p>
    <w:p w14:paraId="7770203A" w14:textId="02A1A5D5" w:rsidR="00073658" w:rsidRPr="007857CF" w:rsidRDefault="00073658" w:rsidP="00073658">
      <w:pPr>
        <w:pStyle w:val="ListParagraph"/>
        <w:numPr>
          <w:ilvl w:val="1"/>
          <w:numId w:val="53"/>
        </w:numPr>
        <w:jc w:val="both"/>
        <w:rPr>
          <w:rFonts w:ascii="Segoe UI" w:eastAsia="Calibri" w:hAnsi="Segoe UI" w:cs="Segoe UI"/>
          <w:sz w:val="20"/>
          <w:szCs w:val="20"/>
        </w:rPr>
      </w:pPr>
      <w:r w:rsidRPr="007857CF">
        <w:t>Investigators submit report and supporting data to the SACBC for consideration.</w:t>
      </w:r>
    </w:p>
    <w:p w14:paraId="0E63904F" w14:textId="56FFD92F" w:rsidR="00073658" w:rsidRPr="007857CF" w:rsidRDefault="00073658" w:rsidP="00073658">
      <w:pPr>
        <w:pStyle w:val="ListParagraph"/>
        <w:numPr>
          <w:ilvl w:val="1"/>
          <w:numId w:val="53"/>
        </w:numPr>
        <w:jc w:val="both"/>
        <w:rPr>
          <w:rFonts w:ascii="Segoe UI" w:eastAsia="Calibri" w:hAnsi="Segoe UI" w:cs="Segoe UI"/>
          <w:sz w:val="20"/>
          <w:szCs w:val="20"/>
        </w:rPr>
      </w:pPr>
      <w:r w:rsidRPr="007857CF">
        <w:t>The SACBC decides whether the component may be recommended for inclusion in the Red Book guidelines.</w:t>
      </w:r>
    </w:p>
    <w:p w14:paraId="303BD75D" w14:textId="5BCA48A1" w:rsidR="00073658" w:rsidRPr="007857CF" w:rsidRDefault="00073658" w:rsidP="00073658">
      <w:pPr>
        <w:pStyle w:val="ListParagraph"/>
        <w:numPr>
          <w:ilvl w:val="0"/>
          <w:numId w:val="53"/>
        </w:numPr>
        <w:jc w:val="both"/>
        <w:rPr>
          <w:rFonts w:ascii="Segoe UI" w:eastAsia="Calibri" w:hAnsi="Segoe UI" w:cs="Segoe UI"/>
          <w:sz w:val="20"/>
          <w:szCs w:val="20"/>
        </w:rPr>
      </w:pPr>
      <w:r w:rsidRPr="007857CF">
        <w:t>Joint Professional Advisory Committee</w:t>
      </w:r>
    </w:p>
    <w:p w14:paraId="7A512D6A" w14:textId="6F3FE2EA" w:rsidR="00073658" w:rsidRPr="007857CF" w:rsidRDefault="00073658" w:rsidP="00073658">
      <w:pPr>
        <w:pStyle w:val="ListParagraph"/>
        <w:numPr>
          <w:ilvl w:val="1"/>
          <w:numId w:val="53"/>
        </w:numPr>
        <w:jc w:val="both"/>
        <w:rPr>
          <w:rFonts w:ascii="Segoe UI" w:eastAsia="Calibri" w:hAnsi="Segoe UI" w:cs="Segoe UI"/>
          <w:sz w:val="20"/>
          <w:szCs w:val="20"/>
        </w:rPr>
      </w:pPr>
      <w:r w:rsidRPr="007857CF">
        <w:t>Consider the recommendation that a new component should be listed.</w:t>
      </w:r>
    </w:p>
    <w:p w14:paraId="00F11556" w14:textId="1AD7B880" w:rsidR="00073658" w:rsidRPr="007857CF" w:rsidRDefault="00073658" w:rsidP="00073658">
      <w:pPr>
        <w:pStyle w:val="ListParagraph"/>
        <w:numPr>
          <w:ilvl w:val="0"/>
          <w:numId w:val="53"/>
        </w:numPr>
        <w:jc w:val="both"/>
        <w:rPr>
          <w:rFonts w:ascii="Segoe UI" w:eastAsia="Calibri" w:hAnsi="Segoe UI" w:cs="Segoe UI"/>
          <w:sz w:val="20"/>
          <w:szCs w:val="20"/>
        </w:rPr>
      </w:pPr>
      <w:r w:rsidRPr="007857CF">
        <w:t>Standing Advisory Committee on Blood Components (SACBC)</w:t>
      </w:r>
    </w:p>
    <w:p w14:paraId="582A0E07" w14:textId="7CC0D6C6" w:rsidR="00073658" w:rsidRPr="007857CF" w:rsidRDefault="00073658" w:rsidP="00073658">
      <w:pPr>
        <w:pStyle w:val="ListParagraph"/>
        <w:numPr>
          <w:ilvl w:val="1"/>
          <w:numId w:val="53"/>
        </w:numPr>
        <w:jc w:val="both"/>
        <w:rPr>
          <w:rFonts w:ascii="Segoe UI" w:eastAsia="Calibri" w:hAnsi="Segoe UI" w:cs="Segoe UI"/>
          <w:sz w:val="20"/>
          <w:szCs w:val="20"/>
        </w:rPr>
      </w:pPr>
      <w:r w:rsidRPr="007857CF">
        <w:t>Communicates the JPAC decision to appropriate parties.</w:t>
      </w:r>
    </w:p>
    <w:p w14:paraId="0CFC587D" w14:textId="5073622F" w:rsidR="00073658" w:rsidRPr="007857CF" w:rsidRDefault="00073658" w:rsidP="00073658">
      <w:pPr>
        <w:pStyle w:val="ListParagraph"/>
        <w:numPr>
          <w:ilvl w:val="0"/>
          <w:numId w:val="53"/>
        </w:numPr>
        <w:jc w:val="both"/>
        <w:rPr>
          <w:rFonts w:ascii="Segoe UI" w:eastAsia="Calibri" w:hAnsi="Segoe UI" w:cs="Segoe UI"/>
          <w:sz w:val="20"/>
          <w:szCs w:val="20"/>
        </w:rPr>
      </w:pPr>
      <w:r w:rsidRPr="007857CF">
        <w:t>Standing Advisory Committee on Information Technology (SACIT)</w:t>
      </w:r>
    </w:p>
    <w:p w14:paraId="0083EEA5" w14:textId="4AD2F35C" w:rsidR="00073658" w:rsidRPr="007857CF" w:rsidRDefault="00073658" w:rsidP="00073658">
      <w:pPr>
        <w:pStyle w:val="ListParagraph"/>
        <w:numPr>
          <w:ilvl w:val="1"/>
          <w:numId w:val="53"/>
        </w:numPr>
        <w:jc w:val="both"/>
        <w:rPr>
          <w:rFonts w:ascii="Segoe UI" w:eastAsia="Calibri" w:hAnsi="Segoe UI" w:cs="Segoe UI"/>
          <w:sz w:val="20"/>
          <w:szCs w:val="20"/>
        </w:rPr>
      </w:pPr>
      <w:r w:rsidRPr="007857CF">
        <w:t>Provides codes for the new blood component</w:t>
      </w:r>
    </w:p>
    <w:p w14:paraId="19CEFBCC" w14:textId="4B0821E8" w:rsidR="00073658" w:rsidRPr="007857CF" w:rsidRDefault="00073658" w:rsidP="00073658">
      <w:pPr>
        <w:pStyle w:val="ListParagraph"/>
        <w:numPr>
          <w:ilvl w:val="1"/>
          <w:numId w:val="53"/>
        </w:numPr>
        <w:jc w:val="both"/>
        <w:rPr>
          <w:rFonts w:ascii="Segoe UI" w:eastAsia="Calibri" w:hAnsi="Segoe UI" w:cs="Segoe UI"/>
          <w:sz w:val="20"/>
          <w:szCs w:val="20"/>
        </w:rPr>
      </w:pPr>
      <w:r w:rsidRPr="007857CF">
        <w:t>Provides a component label and updates the UKBTS Component Portfolio.</w:t>
      </w:r>
    </w:p>
    <w:p w14:paraId="1209AD42" w14:textId="46E9EF57" w:rsidR="00073658" w:rsidRPr="007857CF" w:rsidRDefault="00073658" w:rsidP="00073658">
      <w:pPr>
        <w:pStyle w:val="ListParagraph"/>
        <w:numPr>
          <w:ilvl w:val="0"/>
          <w:numId w:val="53"/>
        </w:numPr>
        <w:jc w:val="both"/>
        <w:rPr>
          <w:rFonts w:ascii="Segoe UI" w:eastAsia="Calibri" w:hAnsi="Segoe UI" w:cs="Segoe UI"/>
          <w:sz w:val="20"/>
          <w:szCs w:val="20"/>
        </w:rPr>
      </w:pPr>
      <w:r w:rsidRPr="007857CF">
        <w:t>Blood Establishment</w:t>
      </w:r>
    </w:p>
    <w:p w14:paraId="178FB5FF" w14:textId="614A1C96" w:rsidR="00073658" w:rsidRPr="007857CF" w:rsidRDefault="00073658" w:rsidP="00073658">
      <w:pPr>
        <w:pStyle w:val="ListParagraph"/>
        <w:numPr>
          <w:ilvl w:val="1"/>
          <w:numId w:val="53"/>
        </w:numPr>
        <w:jc w:val="both"/>
        <w:rPr>
          <w:rFonts w:ascii="Segoe UI" w:eastAsia="Calibri" w:hAnsi="Segoe UI" w:cs="Segoe UI"/>
          <w:sz w:val="20"/>
          <w:szCs w:val="20"/>
        </w:rPr>
      </w:pPr>
      <w:r w:rsidRPr="007857CF">
        <w:t>Begin production of the new blood component.</w:t>
      </w:r>
    </w:p>
    <w:p w14:paraId="73379250" w14:textId="144A0D00" w:rsidR="00073658" w:rsidRPr="007857CF" w:rsidRDefault="00073658" w:rsidP="00073658">
      <w:pPr>
        <w:pStyle w:val="ListParagraph"/>
        <w:numPr>
          <w:ilvl w:val="1"/>
          <w:numId w:val="53"/>
        </w:numPr>
        <w:jc w:val="both"/>
        <w:rPr>
          <w:rFonts w:ascii="Segoe UI" w:eastAsia="Calibri" w:hAnsi="Segoe UI" w:cs="Segoe UI"/>
          <w:sz w:val="20"/>
          <w:szCs w:val="20"/>
        </w:rPr>
      </w:pPr>
      <w:r w:rsidRPr="007857CF">
        <w:t>Produce the blood component routinely.</w:t>
      </w:r>
    </w:p>
    <w:p w14:paraId="55545793" w14:textId="77777777" w:rsidR="008033F8" w:rsidRPr="000A2B65" w:rsidRDefault="008033F8" w:rsidP="008033F8">
      <w:pPr>
        <w:jc w:val="both"/>
        <w:rPr>
          <w:rFonts w:ascii="Segoe UI" w:eastAsia="Calibri" w:hAnsi="Segoe UI" w:cs="Segoe UI"/>
          <w:sz w:val="20"/>
          <w:szCs w:val="20"/>
        </w:rPr>
      </w:pPr>
    </w:p>
    <w:p w14:paraId="1D5C9E4B" w14:textId="4CB052E7" w:rsidR="001B2B5B" w:rsidRPr="007857CF" w:rsidRDefault="00DB3913" w:rsidP="008033F8">
      <w:pPr>
        <w:jc w:val="both"/>
        <w:rPr>
          <w:rFonts w:ascii="Segoe UI" w:eastAsia="Calibri" w:hAnsi="Segoe UI" w:cs="Segoe UI"/>
          <w:b/>
          <w:sz w:val="20"/>
          <w:szCs w:val="20"/>
        </w:rPr>
      </w:pPr>
      <w:r w:rsidRPr="007857CF">
        <w:rPr>
          <w:rFonts w:ascii="Segoe UI" w:eastAsia="Calibri" w:hAnsi="Segoe UI" w:cs="Segoe UI"/>
          <w:b/>
          <w:sz w:val="20"/>
          <w:szCs w:val="20"/>
        </w:rPr>
        <w:t>Review and Evaluation – Outputs from Other Eu</w:t>
      </w:r>
      <w:r w:rsidR="00656932" w:rsidRPr="007857CF">
        <w:rPr>
          <w:rFonts w:ascii="Segoe UI" w:eastAsia="Calibri" w:hAnsi="Segoe UI" w:cs="Segoe UI"/>
          <w:b/>
          <w:sz w:val="20"/>
          <w:szCs w:val="20"/>
        </w:rPr>
        <w:t>ropean Projects</w:t>
      </w:r>
    </w:p>
    <w:p w14:paraId="15D09205" w14:textId="5C254889" w:rsidR="00BB2994" w:rsidRPr="007857CF" w:rsidRDefault="00BB2994" w:rsidP="00BB2994">
      <w:pPr>
        <w:jc w:val="both"/>
        <w:rPr>
          <w:rFonts w:ascii="Segoe UI" w:eastAsia="Calibri" w:hAnsi="Segoe UI" w:cs="Segoe UI"/>
          <w:b/>
          <w:sz w:val="20"/>
          <w:szCs w:val="20"/>
        </w:rPr>
      </w:pPr>
      <w:r w:rsidRPr="007857CF">
        <w:rPr>
          <w:rFonts w:ascii="Segoe UI" w:eastAsia="Calibri" w:hAnsi="Segoe UI" w:cs="Segoe UI"/>
          <w:b/>
          <w:sz w:val="20"/>
          <w:szCs w:val="20"/>
        </w:rPr>
        <w:t>VISTART WP5B</w:t>
      </w:r>
    </w:p>
    <w:p w14:paraId="7D7E8B4D" w14:textId="460DE7FB" w:rsidR="00BB2994" w:rsidRPr="00BB4D81" w:rsidRDefault="00BB2994" w:rsidP="00BB2994">
      <w:pPr>
        <w:jc w:val="both"/>
        <w:rPr>
          <w:rFonts w:ascii="Segoe UI" w:eastAsia="Calibri" w:hAnsi="Segoe UI" w:cs="Segoe UI"/>
          <w:sz w:val="20"/>
          <w:szCs w:val="20"/>
        </w:rPr>
      </w:pPr>
      <w:r w:rsidRPr="00BB4D81">
        <w:rPr>
          <w:rFonts w:ascii="Segoe UI" w:eastAsia="Calibri" w:hAnsi="Segoe UI" w:cs="Segoe UI"/>
          <w:sz w:val="20"/>
          <w:szCs w:val="20"/>
        </w:rPr>
        <w:t>According to VISTART WP5B, high quality, safety, and efficacy/ effectiveness of BTC products have to be ensured by CA by comprehensive data-driven assessment of BTC preparation pro</w:t>
      </w:r>
      <w:r w:rsidR="00877029" w:rsidRPr="00BB4D81">
        <w:rPr>
          <w:rFonts w:ascii="Segoe UI" w:eastAsia="Calibri" w:hAnsi="Segoe UI" w:cs="Segoe UI"/>
          <w:sz w:val="20"/>
          <w:szCs w:val="20"/>
        </w:rPr>
        <w:t>cess and/or BTC product authoris</w:t>
      </w:r>
      <w:r w:rsidRPr="00BB4D81">
        <w:rPr>
          <w:rFonts w:ascii="Segoe UI" w:eastAsia="Calibri" w:hAnsi="Segoe UI" w:cs="Segoe UI"/>
          <w:sz w:val="20"/>
          <w:szCs w:val="20"/>
        </w:rPr>
        <w:t>ation requests, and by risk-based decision-making on approval of BTC preparation pro</w:t>
      </w:r>
      <w:r w:rsidR="00877029" w:rsidRPr="00BB4D81">
        <w:rPr>
          <w:rFonts w:ascii="Segoe UI" w:eastAsia="Calibri" w:hAnsi="Segoe UI" w:cs="Segoe UI"/>
          <w:sz w:val="20"/>
          <w:szCs w:val="20"/>
        </w:rPr>
        <w:t>cess and/or BTC product authoris</w:t>
      </w:r>
      <w:r w:rsidRPr="00BB4D81">
        <w:rPr>
          <w:rFonts w:ascii="Segoe UI" w:eastAsia="Calibri" w:hAnsi="Segoe UI" w:cs="Segoe UI"/>
          <w:sz w:val="20"/>
          <w:szCs w:val="20"/>
        </w:rPr>
        <w:t xml:space="preserve">ation. </w:t>
      </w:r>
    </w:p>
    <w:p w14:paraId="11069507" w14:textId="671FD167" w:rsidR="002A4213" w:rsidRPr="00BB4D81" w:rsidRDefault="00BB2994" w:rsidP="00BB2994">
      <w:pPr>
        <w:jc w:val="both"/>
        <w:rPr>
          <w:rFonts w:ascii="Segoe UI" w:eastAsia="Calibri" w:hAnsi="Segoe UI" w:cs="Segoe UI"/>
          <w:sz w:val="20"/>
          <w:szCs w:val="20"/>
        </w:rPr>
      </w:pPr>
      <w:r w:rsidRPr="00BB4D81">
        <w:rPr>
          <w:rFonts w:ascii="Segoe UI" w:eastAsia="Calibri" w:hAnsi="Segoe UI" w:cs="Segoe UI"/>
          <w:sz w:val="20"/>
          <w:szCs w:val="20"/>
        </w:rPr>
        <w:t xml:space="preserve">Thus, risk-based-decision making of CA has to be strictly data based. In case of the need to balance regulatory requirements with the requirement of timely access of patients to novel therapies, a precautionary regulatory approach might be – in the case that the expected benefit justifies the expected risk – to approve conditionally under the demand of generating further data sets that are required for further assessment and final decision-making (full approval or rejection). </w:t>
      </w:r>
      <w:r w:rsidR="002A4213" w:rsidRPr="00BB4D81">
        <w:rPr>
          <w:rFonts w:ascii="Segoe UI" w:eastAsia="Calibri" w:hAnsi="Segoe UI" w:cs="Segoe UI"/>
          <w:sz w:val="20"/>
          <w:szCs w:val="20"/>
        </w:rPr>
        <w:t xml:space="preserve">See table </w:t>
      </w:r>
      <w:r w:rsidR="00EB4F53">
        <w:rPr>
          <w:rFonts w:ascii="Segoe UI" w:eastAsia="Calibri" w:hAnsi="Segoe UI" w:cs="Segoe UI"/>
          <w:sz w:val="20"/>
          <w:szCs w:val="20"/>
        </w:rPr>
        <w:t>10</w:t>
      </w:r>
      <w:r w:rsidR="00EB4F53" w:rsidRPr="00BB4D81">
        <w:rPr>
          <w:rFonts w:ascii="Segoe UI" w:eastAsia="Calibri" w:hAnsi="Segoe UI" w:cs="Segoe UI"/>
          <w:sz w:val="20"/>
          <w:szCs w:val="20"/>
        </w:rPr>
        <w:t xml:space="preserve"> </w:t>
      </w:r>
      <w:r w:rsidR="002A4213" w:rsidRPr="00BB4D81">
        <w:rPr>
          <w:rFonts w:ascii="Segoe UI" w:eastAsia="Calibri" w:hAnsi="Segoe UI" w:cs="Segoe UI"/>
          <w:sz w:val="20"/>
          <w:szCs w:val="20"/>
        </w:rPr>
        <w:t xml:space="preserve">below for VISTART WP5B algorithm </w:t>
      </w:r>
      <w:r w:rsidR="00154D53" w:rsidRPr="00BB4D81">
        <w:rPr>
          <w:rFonts w:ascii="Segoe UI" w:eastAsia="Calibri" w:hAnsi="Segoe UI" w:cs="Segoe UI"/>
          <w:sz w:val="20"/>
          <w:szCs w:val="20"/>
        </w:rPr>
        <w:t>for risk based decision making.</w:t>
      </w:r>
    </w:p>
    <w:p w14:paraId="4D1ABBED" w14:textId="77777777" w:rsidR="00BB2994" w:rsidRPr="00BB4D81" w:rsidRDefault="00BB2994" w:rsidP="00BB2994">
      <w:pPr>
        <w:jc w:val="both"/>
        <w:rPr>
          <w:rFonts w:ascii="Segoe UI" w:eastAsia="Calibri" w:hAnsi="Segoe UI" w:cs="Segoe UI"/>
          <w:sz w:val="20"/>
          <w:szCs w:val="20"/>
        </w:rPr>
      </w:pPr>
      <w:r w:rsidRPr="00BB4D81">
        <w:rPr>
          <w:rFonts w:ascii="Arial" w:eastAsia="Calibri" w:hAnsi="Arial" w:cs="Arial"/>
          <w:noProof/>
          <w:sz w:val="20"/>
          <w:szCs w:val="20"/>
          <w:lang w:eastAsia="en-IE"/>
        </w:rPr>
        <w:drawing>
          <wp:inline distT="0" distB="0" distL="0" distR="0" wp14:anchorId="467CD237" wp14:editId="3D996857">
            <wp:extent cx="5731510" cy="3745165"/>
            <wp:effectExtent l="0" t="0" r="2540" b="8255"/>
            <wp:docPr id="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TART - Visualisierung_08_abgestimmt.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745165"/>
                    </a:xfrm>
                    <a:prstGeom prst="rect">
                      <a:avLst/>
                    </a:prstGeom>
                  </pic:spPr>
                </pic:pic>
              </a:graphicData>
            </a:graphic>
          </wp:inline>
        </w:drawing>
      </w:r>
    </w:p>
    <w:p w14:paraId="7C10026C" w14:textId="4AB150B5" w:rsidR="002A4213" w:rsidRPr="00BB4D81" w:rsidRDefault="002A4213" w:rsidP="002A4213">
      <w:pPr>
        <w:jc w:val="both"/>
        <w:rPr>
          <w:rFonts w:ascii="Segoe UI" w:eastAsia="Calibri" w:hAnsi="Segoe UI" w:cs="Segoe UI"/>
          <w:sz w:val="20"/>
          <w:szCs w:val="20"/>
        </w:rPr>
      </w:pPr>
      <w:bookmarkStart w:id="12" w:name="_Toc508628363"/>
      <w:r w:rsidRPr="00BB4D81">
        <w:rPr>
          <w:rFonts w:ascii="Segoe UI" w:eastAsia="Calibri" w:hAnsi="Segoe UI" w:cs="Segoe UI"/>
          <w:sz w:val="20"/>
          <w:szCs w:val="20"/>
        </w:rPr>
        <w:t xml:space="preserve">Table </w:t>
      </w:r>
      <w:r w:rsidR="00EB4F53">
        <w:rPr>
          <w:rFonts w:ascii="Segoe UI" w:eastAsia="Calibri" w:hAnsi="Segoe UI" w:cs="Segoe UI"/>
          <w:sz w:val="20"/>
          <w:szCs w:val="20"/>
        </w:rPr>
        <w:t>10</w:t>
      </w:r>
      <w:r w:rsidRPr="00BB4D81">
        <w:rPr>
          <w:rFonts w:ascii="Segoe UI" w:eastAsia="Calibri" w:hAnsi="Segoe UI" w:cs="Segoe UI"/>
          <w:sz w:val="20"/>
          <w:szCs w:val="20"/>
        </w:rPr>
        <w:t>: VISTART WP5B algorithm a CA may use to decide on the authorisation of the novel PP/product in consideration of the benefit-risk-ratio as a result of assessment of quality, safety and efficacy, based on available data, reflecting the maturity of the product and its degree of novelty, respectively.</w:t>
      </w:r>
    </w:p>
    <w:p w14:paraId="15A861B2" w14:textId="77FE65B7" w:rsidR="00BB2994" w:rsidRPr="00BB4D81" w:rsidRDefault="00BB2994" w:rsidP="00BB2994">
      <w:pPr>
        <w:jc w:val="both"/>
        <w:rPr>
          <w:rFonts w:ascii="Segoe UI" w:eastAsia="Calibri" w:hAnsi="Segoe UI" w:cs="Segoe UI"/>
          <w:sz w:val="20"/>
          <w:szCs w:val="20"/>
        </w:rPr>
      </w:pPr>
      <w:r w:rsidRPr="00BB4D81">
        <w:rPr>
          <w:rFonts w:ascii="Segoe UI" w:eastAsia="Calibri" w:hAnsi="Segoe UI" w:cs="Segoe UI"/>
          <w:sz w:val="20"/>
          <w:szCs w:val="20"/>
        </w:rPr>
        <w:t xml:space="preserve">Annex 4 of WB5B also provide a </w:t>
      </w:r>
      <w:r w:rsidR="005647FB" w:rsidRPr="00BB4D81">
        <w:rPr>
          <w:rFonts w:ascii="Segoe UI" w:eastAsia="Calibri" w:hAnsi="Segoe UI" w:cs="Segoe UI"/>
          <w:sz w:val="20"/>
          <w:szCs w:val="20"/>
        </w:rPr>
        <w:t>Checklist</w:t>
      </w:r>
      <w:r w:rsidRPr="00BB4D81">
        <w:rPr>
          <w:rFonts w:ascii="Segoe UI" w:eastAsia="Calibri" w:hAnsi="Segoe UI" w:cs="Segoe UI"/>
          <w:sz w:val="20"/>
          <w:szCs w:val="20"/>
        </w:rPr>
        <w:t xml:space="preserve"> to evaluate a clinical follow-up plan</w:t>
      </w:r>
      <w:bookmarkEnd w:id="12"/>
      <w:r w:rsidRPr="00BB4D81">
        <w:rPr>
          <w:rFonts w:ascii="Segoe UI" w:eastAsia="Calibri" w:hAnsi="Segoe UI" w:cs="Segoe UI"/>
          <w:sz w:val="20"/>
          <w:szCs w:val="20"/>
        </w:rPr>
        <w:t xml:space="preserve">; however, there are no further detailed guidelines given in regard to the overall review /assessment process. As previously indicated in relation to the CTD format, this drives a high standard of assessment conformity. </w:t>
      </w:r>
    </w:p>
    <w:p w14:paraId="77B8A108" w14:textId="093EBCBA" w:rsidR="00BB2994" w:rsidRPr="00BB4D81" w:rsidRDefault="00BB2994" w:rsidP="00BB2994">
      <w:pPr>
        <w:jc w:val="both"/>
        <w:rPr>
          <w:rFonts w:ascii="Segoe UI" w:eastAsia="Calibri" w:hAnsi="Segoe UI" w:cs="Segoe UI"/>
          <w:sz w:val="20"/>
          <w:szCs w:val="20"/>
        </w:rPr>
      </w:pPr>
      <w:r w:rsidRPr="00BB4D81">
        <w:rPr>
          <w:rFonts w:ascii="Segoe UI" w:eastAsia="Calibri" w:hAnsi="Segoe UI" w:cs="Segoe UI"/>
          <w:sz w:val="20"/>
          <w:szCs w:val="20"/>
        </w:rPr>
        <w:t xml:space="preserve">This is driven by the provision of associated </w:t>
      </w:r>
      <w:r w:rsidR="00DD5648">
        <w:rPr>
          <w:rFonts w:ascii="Segoe UI" w:eastAsia="Calibri" w:hAnsi="Segoe UI" w:cs="Segoe UI"/>
          <w:sz w:val="20"/>
          <w:szCs w:val="20"/>
        </w:rPr>
        <w:t>a</w:t>
      </w:r>
      <w:r w:rsidRPr="00BB4D81">
        <w:rPr>
          <w:rFonts w:ascii="Segoe UI" w:eastAsia="Calibri" w:hAnsi="Segoe UI" w:cs="Segoe UI"/>
          <w:sz w:val="20"/>
          <w:szCs w:val="20"/>
        </w:rPr>
        <w:t xml:space="preserve">ssessment </w:t>
      </w:r>
      <w:r w:rsidR="00DD5648">
        <w:rPr>
          <w:rFonts w:ascii="Segoe UI" w:eastAsia="Calibri" w:hAnsi="Segoe UI" w:cs="Segoe UI"/>
          <w:sz w:val="20"/>
          <w:szCs w:val="20"/>
        </w:rPr>
        <w:t>r</w:t>
      </w:r>
      <w:r w:rsidRPr="00BB4D81">
        <w:rPr>
          <w:rFonts w:ascii="Segoe UI" w:eastAsia="Calibri" w:hAnsi="Segoe UI" w:cs="Segoe UI"/>
          <w:sz w:val="20"/>
          <w:szCs w:val="20"/>
        </w:rPr>
        <w:t xml:space="preserve">eport </w:t>
      </w:r>
      <w:r w:rsidR="005647FB" w:rsidRPr="00BB4D81">
        <w:rPr>
          <w:rFonts w:ascii="Segoe UI" w:eastAsia="Calibri" w:hAnsi="Segoe UI" w:cs="Segoe UI"/>
          <w:sz w:val="20"/>
          <w:szCs w:val="20"/>
        </w:rPr>
        <w:t>templates, which</w:t>
      </w:r>
      <w:r w:rsidRPr="00BB4D81">
        <w:rPr>
          <w:rFonts w:ascii="Segoe UI" w:eastAsia="Calibri" w:hAnsi="Segoe UI" w:cs="Segoe UI"/>
          <w:sz w:val="20"/>
          <w:szCs w:val="20"/>
        </w:rPr>
        <w:t xml:space="preserve"> include a narrative that directs the discussion of the review of the submitted data under the various subsections of the CTD: </w:t>
      </w:r>
    </w:p>
    <w:p w14:paraId="79F5049A" w14:textId="62D9DBFB" w:rsidR="00BB2994" w:rsidRDefault="005647FB" w:rsidP="00BB2994">
      <w:pPr>
        <w:jc w:val="both"/>
        <w:rPr>
          <w:rFonts w:ascii="Segoe UI" w:eastAsia="Calibri" w:hAnsi="Segoe UI" w:cs="Segoe UI"/>
          <w:sz w:val="20"/>
          <w:szCs w:val="20"/>
        </w:rPr>
      </w:pPr>
      <w:r w:rsidRPr="00BB4D81">
        <w:rPr>
          <w:rFonts w:ascii="Segoe UI" w:eastAsia="Calibri" w:hAnsi="Segoe UI" w:cs="Segoe UI"/>
          <w:sz w:val="20"/>
          <w:szCs w:val="20"/>
        </w:rPr>
        <w:t>E.g.,</w:t>
      </w:r>
      <w:r w:rsidR="00BB2994" w:rsidRPr="00BB4D81">
        <w:rPr>
          <w:rFonts w:ascii="Segoe UI" w:eastAsia="Calibri" w:hAnsi="Segoe UI" w:cs="Segoe UI"/>
          <w:sz w:val="20"/>
          <w:szCs w:val="20"/>
        </w:rPr>
        <w:t xml:space="preserve"> </w:t>
      </w:r>
      <w:r w:rsidRPr="00BB4D81">
        <w:rPr>
          <w:rFonts w:ascii="Segoe UI" w:eastAsia="Calibri" w:hAnsi="Segoe UI" w:cs="Segoe UI"/>
          <w:sz w:val="20"/>
          <w:szCs w:val="20"/>
        </w:rPr>
        <w:t>the</w:t>
      </w:r>
      <w:r w:rsidR="00BB2994" w:rsidRPr="00BB4D81">
        <w:rPr>
          <w:rFonts w:ascii="Segoe UI" w:eastAsia="Calibri" w:hAnsi="Segoe UI" w:cs="Segoe UI"/>
          <w:sz w:val="20"/>
          <w:szCs w:val="20"/>
        </w:rPr>
        <w:t xml:space="preserve"> set points and ranges should be justified by process development. Alternatively, the set points used during process validation could be accepted without further justification. Are significant process parameters missing from the description? Has the applicant justified the proposed ranges? “Ranges” only defined by an upper or a lower limit should also be considered. </w:t>
      </w:r>
    </w:p>
    <w:p w14:paraId="5AD90679" w14:textId="77777777" w:rsidR="00F76523" w:rsidRPr="00BB4D81" w:rsidRDefault="00F76523" w:rsidP="00BB2994">
      <w:pPr>
        <w:jc w:val="both"/>
        <w:rPr>
          <w:rFonts w:ascii="Segoe UI" w:eastAsia="Calibri" w:hAnsi="Segoe UI" w:cs="Segoe UI"/>
          <w:sz w:val="20"/>
          <w:szCs w:val="20"/>
        </w:rPr>
      </w:pPr>
    </w:p>
    <w:p w14:paraId="763CC2F4" w14:textId="64030F04" w:rsidR="00BB2994" w:rsidRDefault="00877029" w:rsidP="00BB2994">
      <w:pPr>
        <w:jc w:val="both"/>
        <w:rPr>
          <w:rFonts w:ascii="Segoe UI" w:eastAsia="Calibri" w:hAnsi="Segoe UI" w:cs="Segoe UI"/>
          <w:b/>
          <w:sz w:val="20"/>
          <w:szCs w:val="20"/>
        </w:rPr>
      </w:pPr>
      <w:r w:rsidRPr="007857CF">
        <w:rPr>
          <w:rFonts w:ascii="Segoe UI" w:eastAsia="Calibri" w:hAnsi="Segoe UI" w:cs="Segoe UI"/>
          <w:b/>
          <w:sz w:val="20"/>
          <w:szCs w:val="20"/>
        </w:rPr>
        <w:t>Review and Evaluation – Multi-Country Workshop</w:t>
      </w:r>
    </w:p>
    <w:p w14:paraId="6463EC36" w14:textId="77777777" w:rsidR="00F76523" w:rsidRPr="007857CF" w:rsidRDefault="00F76523" w:rsidP="00BB2994">
      <w:pPr>
        <w:jc w:val="both"/>
        <w:rPr>
          <w:rFonts w:ascii="Segoe UI" w:eastAsia="Calibri" w:hAnsi="Segoe UI" w:cs="Segoe UI"/>
          <w:b/>
          <w:sz w:val="20"/>
          <w:szCs w:val="20"/>
        </w:rPr>
      </w:pPr>
    </w:p>
    <w:p w14:paraId="514A3112" w14:textId="037FBAE3" w:rsidR="006A74C6" w:rsidRPr="00BB4D81" w:rsidRDefault="00BB2994" w:rsidP="00BB2994">
      <w:pPr>
        <w:jc w:val="both"/>
        <w:rPr>
          <w:rFonts w:ascii="Segoe UI" w:eastAsia="Calibri" w:hAnsi="Segoe UI" w:cs="Segoe UI"/>
          <w:sz w:val="20"/>
          <w:szCs w:val="20"/>
        </w:rPr>
      </w:pPr>
      <w:r w:rsidRPr="00B06281">
        <w:rPr>
          <w:rFonts w:ascii="Segoe UI" w:eastAsia="Calibri" w:hAnsi="Segoe UI" w:cs="Segoe UI"/>
          <w:sz w:val="20"/>
          <w:szCs w:val="20"/>
        </w:rPr>
        <w:t xml:space="preserve">The main objective of this part </w:t>
      </w:r>
      <w:r w:rsidR="00525169" w:rsidRPr="00B06281">
        <w:rPr>
          <w:rFonts w:ascii="Segoe UI" w:eastAsia="Calibri" w:hAnsi="Segoe UI" w:cs="Segoe UI"/>
          <w:sz w:val="20"/>
          <w:szCs w:val="20"/>
        </w:rPr>
        <w:t>wa</w:t>
      </w:r>
      <w:r w:rsidR="006A74C6" w:rsidRPr="00B06281">
        <w:rPr>
          <w:rFonts w:ascii="Segoe UI" w:eastAsia="Calibri" w:hAnsi="Segoe UI" w:cs="Segoe UI"/>
          <w:sz w:val="20"/>
          <w:szCs w:val="20"/>
        </w:rPr>
        <w:t>s to get an overview of</w:t>
      </w:r>
      <w:r w:rsidRPr="00B06281">
        <w:rPr>
          <w:rFonts w:ascii="Segoe UI" w:eastAsia="Calibri" w:hAnsi="Segoe UI" w:cs="Segoe UI"/>
          <w:sz w:val="20"/>
          <w:szCs w:val="20"/>
        </w:rPr>
        <w:t xml:space="preserve"> the processes and procedures in place for the approval or refusal of authorisations. </w:t>
      </w:r>
      <w:r w:rsidR="006554FE" w:rsidRPr="00B06281">
        <w:rPr>
          <w:rFonts w:ascii="Segoe UI" w:eastAsia="Calibri" w:hAnsi="Segoe UI" w:cs="Segoe UI"/>
          <w:sz w:val="20"/>
          <w:szCs w:val="20"/>
        </w:rPr>
        <w:t xml:space="preserve">It was clear from the survey that processes were not routinely in existence within CAs. </w:t>
      </w:r>
      <w:r w:rsidRPr="00B06281">
        <w:rPr>
          <w:rFonts w:ascii="Segoe UI" w:eastAsia="Calibri" w:hAnsi="Segoe UI" w:cs="Segoe UI"/>
          <w:sz w:val="20"/>
          <w:szCs w:val="20"/>
        </w:rPr>
        <w:t xml:space="preserve">It </w:t>
      </w:r>
      <w:r w:rsidR="006554FE" w:rsidRPr="00B06281">
        <w:rPr>
          <w:rFonts w:ascii="Segoe UI" w:eastAsia="Calibri" w:hAnsi="Segoe UI" w:cs="Segoe UI"/>
          <w:sz w:val="20"/>
          <w:szCs w:val="20"/>
        </w:rPr>
        <w:t>was</w:t>
      </w:r>
      <w:r w:rsidRPr="00B06281">
        <w:rPr>
          <w:rFonts w:ascii="Segoe UI" w:eastAsia="Calibri" w:hAnsi="Segoe UI" w:cs="Segoe UI"/>
          <w:sz w:val="20"/>
          <w:szCs w:val="20"/>
        </w:rPr>
        <w:t xml:space="preserve"> also to promote discussion on </w:t>
      </w:r>
      <w:r w:rsidR="00C922D8" w:rsidRPr="00BB4D81">
        <w:rPr>
          <w:rFonts w:ascii="Segoe UI" w:eastAsia="Calibri" w:hAnsi="Segoe UI" w:cs="Segoe UI"/>
          <w:sz w:val="20"/>
          <w:szCs w:val="20"/>
        </w:rPr>
        <w:t>what level of review and evaluation should be performed over the data submitted and how this would be linked to the risk categorisation</w:t>
      </w:r>
      <w:r w:rsidR="006A74C6" w:rsidRPr="00BB4D81">
        <w:rPr>
          <w:rFonts w:ascii="Segoe UI" w:eastAsia="Calibri" w:hAnsi="Segoe UI" w:cs="Segoe UI"/>
          <w:sz w:val="20"/>
          <w:szCs w:val="20"/>
        </w:rPr>
        <w:t xml:space="preserve"> and</w:t>
      </w:r>
      <w:r w:rsidR="00C922D8" w:rsidRPr="00BB4D81">
        <w:rPr>
          <w:rFonts w:ascii="Segoe UI" w:eastAsia="Calibri" w:hAnsi="Segoe UI" w:cs="Segoe UI"/>
          <w:sz w:val="20"/>
          <w:szCs w:val="20"/>
        </w:rPr>
        <w:t xml:space="preserve"> how guidance should be provided for the CAs in assessing the application</w:t>
      </w:r>
      <w:r w:rsidR="006A74C6" w:rsidRPr="00BB4D81">
        <w:rPr>
          <w:rFonts w:ascii="Segoe UI" w:eastAsia="Calibri" w:hAnsi="Segoe UI" w:cs="Segoe UI"/>
          <w:sz w:val="20"/>
          <w:szCs w:val="20"/>
        </w:rPr>
        <w:t xml:space="preserve">. </w:t>
      </w:r>
      <w:r w:rsidR="00C0300C" w:rsidRPr="00BB4D81">
        <w:rPr>
          <w:rFonts w:ascii="Segoe UI" w:eastAsia="Calibri" w:hAnsi="Segoe UI" w:cs="Segoe UI"/>
          <w:sz w:val="20"/>
          <w:szCs w:val="20"/>
        </w:rPr>
        <w:t>There was discussion as to whether WP10 could provide training in relation to how</w:t>
      </w:r>
      <w:r w:rsidR="006A74C6" w:rsidRPr="00BB4D81">
        <w:rPr>
          <w:rFonts w:ascii="Segoe UI" w:eastAsia="Calibri" w:hAnsi="Segoe UI" w:cs="Segoe UI"/>
          <w:sz w:val="20"/>
          <w:szCs w:val="20"/>
        </w:rPr>
        <w:t xml:space="preserve"> CAs should assess </w:t>
      </w:r>
      <w:r w:rsidR="005647FB" w:rsidRPr="00BB4D81">
        <w:rPr>
          <w:rFonts w:ascii="Segoe UI" w:eastAsia="Calibri" w:hAnsi="Segoe UI" w:cs="Segoe UI"/>
          <w:sz w:val="20"/>
          <w:szCs w:val="20"/>
        </w:rPr>
        <w:t>applications;</w:t>
      </w:r>
      <w:r w:rsidR="006A74C6" w:rsidRPr="00BB4D81">
        <w:rPr>
          <w:rFonts w:ascii="Segoe UI" w:eastAsia="Calibri" w:hAnsi="Segoe UI" w:cs="Segoe UI"/>
          <w:sz w:val="20"/>
          <w:szCs w:val="20"/>
        </w:rPr>
        <w:t xml:space="preserve"> this was to be proposed as a possible training subject.</w:t>
      </w:r>
    </w:p>
    <w:p w14:paraId="6CCAA7B3" w14:textId="094AD699" w:rsidR="006C6C3A" w:rsidRPr="00BB4D81" w:rsidRDefault="00C0300C" w:rsidP="00BB2994">
      <w:pPr>
        <w:jc w:val="both"/>
        <w:rPr>
          <w:rFonts w:ascii="Segoe UI" w:eastAsia="Calibri" w:hAnsi="Segoe UI" w:cs="Segoe UI"/>
          <w:sz w:val="20"/>
          <w:szCs w:val="20"/>
        </w:rPr>
      </w:pPr>
      <w:r w:rsidRPr="00BB4D81">
        <w:rPr>
          <w:rFonts w:ascii="Segoe UI" w:eastAsia="Calibri" w:hAnsi="Segoe UI" w:cs="Segoe UI"/>
          <w:sz w:val="20"/>
          <w:szCs w:val="20"/>
        </w:rPr>
        <w:t xml:space="preserve"> </w:t>
      </w:r>
      <w:r w:rsidR="0005342B">
        <w:rPr>
          <w:rFonts w:ascii="Segoe UI" w:eastAsia="Calibri" w:hAnsi="Segoe UI" w:cs="Segoe UI"/>
          <w:sz w:val="20"/>
          <w:szCs w:val="20"/>
        </w:rPr>
        <w:t xml:space="preserve">Following the discussion from the multi-country workshop and review of other countries authorisation systems, </w:t>
      </w:r>
      <w:r w:rsidR="002A4213" w:rsidRPr="00BB4D81">
        <w:rPr>
          <w:rFonts w:ascii="Segoe UI" w:eastAsia="Calibri" w:hAnsi="Segoe UI" w:cs="Segoe UI"/>
          <w:sz w:val="20"/>
          <w:szCs w:val="20"/>
        </w:rPr>
        <w:t>WP5 proposed table</w:t>
      </w:r>
      <w:r w:rsidR="006C6C3A" w:rsidRPr="00BB4D81">
        <w:rPr>
          <w:rFonts w:ascii="Segoe UI" w:eastAsia="Calibri" w:hAnsi="Segoe UI" w:cs="Segoe UI"/>
          <w:sz w:val="20"/>
          <w:szCs w:val="20"/>
        </w:rPr>
        <w:t xml:space="preserve"> </w:t>
      </w:r>
      <w:r w:rsidR="00EB4F53" w:rsidRPr="00BB4D81">
        <w:rPr>
          <w:rFonts w:ascii="Segoe UI" w:eastAsia="Calibri" w:hAnsi="Segoe UI" w:cs="Segoe UI"/>
          <w:sz w:val="20"/>
          <w:szCs w:val="20"/>
        </w:rPr>
        <w:t>1</w:t>
      </w:r>
      <w:r w:rsidR="00EB4F53">
        <w:rPr>
          <w:rFonts w:ascii="Segoe UI" w:eastAsia="Calibri" w:hAnsi="Segoe UI" w:cs="Segoe UI"/>
          <w:sz w:val="20"/>
          <w:szCs w:val="20"/>
        </w:rPr>
        <w:t xml:space="preserve">1 </w:t>
      </w:r>
      <w:r w:rsidR="0005342B">
        <w:rPr>
          <w:rFonts w:ascii="Segoe UI" w:eastAsia="Calibri" w:hAnsi="Segoe UI" w:cs="Segoe UI"/>
          <w:sz w:val="20"/>
          <w:szCs w:val="20"/>
        </w:rPr>
        <w:t>to the Work Package Leaders at a meeting in May</w:t>
      </w:r>
      <w:r w:rsidR="00BB3F83">
        <w:rPr>
          <w:rFonts w:ascii="Segoe UI" w:eastAsia="Calibri" w:hAnsi="Segoe UI" w:cs="Segoe UI"/>
          <w:sz w:val="20"/>
          <w:szCs w:val="20"/>
        </w:rPr>
        <w:t xml:space="preserve"> 2020</w:t>
      </w:r>
      <w:r w:rsidR="0005342B">
        <w:rPr>
          <w:rFonts w:ascii="Segoe UI" w:eastAsia="Calibri" w:hAnsi="Segoe UI" w:cs="Segoe UI"/>
          <w:sz w:val="20"/>
          <w:szCs w:val="20"/>
        </w:rPr>
        <w:t xml:space="preserve">. The table indicates the </w:t>
      </w:r>
      <w:r w:rsidR="006C6C3A" w:rsidRPr="00BB4D81">
        <w:rPr>
          <w:rFonts w:ascii="Segoe UI" w:eastAsia="Calibri" w:hAnsi="Segoe UI" w:cs="Segoe UI"/>
          <w:sz w:val="20"/>
          <w:szCs w:val="20"/>
        </w:rPr>
        <w:t xml:space="preserve">actions to be taken by the CA </w:t>
      </w:r>
      <w:r w:rsidR="0005342B">
        <w:rPr>
          <w:rFonts w:ascii="Segoe UI" w:eastAsia="Calibri" w:hAnsi="Segoe UI" w:cs="Segoe UI"/>
          <w:sz w:val="20"/>
          <w:szCs w:val="20"/>
        </w:rPr>
        <w:t xml:space="preserve">when </w:t>
      </w:r>
      <w:r w:rsidR="006C6C3A" w:rsidRPr="00BB4D81">
        <w:rPr>
          <w:rFonts w:ascii="Segoe UI" w:eastAsia="Calibri" w:hAnsi="Segoe UI" w:cs="Segoe UI"/>
          <w:sz w:val="20"/>
          <w:szCs w:val="20"/>
        </w:rPr>
        <w:t>considering an application.</w:t>
      </w:r>
      <w:r w:rsidR="0005342B">
        <w:rPr>
          <w:rFonts w:ascii="Segoe UI" w:eastAsia="Calibri" w:hAnsi="Segoe UI" w:cs="Segoe UI"/>
          <w:sz w:val="20"/>
          <w:szCs w:val="20"/>
        </w:rPr>
        <w:t xml:space="preserve"> The table is subject to agreement.</w:t>
      </w:r>
    </w:p>
    <w:tbl>
      <w:tblPr>
        <w:tblStyle w:val="TableGrid"/>
        <w:tblW w:w="0" w:type="auto"/>
        <w:tblLook w:val="04A0" w:firstRow="1" w:lastRow="0" w:firstColumn="1" w:lastColumn="0" w:noHBand="0" w:noVBand="1"/>
      </w:tblPr>
      <w:tblGrid>
        <w:gridCol w:w="1324"/>
        <w:gridCol w:w="1506"/>
        <w:gridCol w:w="2694"/>
        <w:gridCol w:w="3826"/>
      </w:tblGrid>
      <w:tr w:rsidR="002A4213" w:rsidRPr="00BB4D81" w14:paraId="713DEFB8" w14:textId="77777777" w:rsidTr="00D779D6">
        <w:tc>
          <w:tcPr>
            <w:tcW w:w="1324" w:type="dxa"/>
          </w:tcPr>
          <w:p w14:paraId="78EDF1C1" w14:textId="39980959" w:rsidR="002A4213" w:rsidRPr="00BB4D81" w:rsidRDefault="006C6C3A" w:rsidP="00D779D6">
            <w:pPr>
              <w:jc w:val="both"/>
              <w:rPr>
                <w:rFonts w:ascii="Segoe UI" w:eastAsia="Calibri" w:hAnsi="Segoe UI" w:cs="Segoe UI"/>
                <w:b/>
                <w:sz w:val="20"/>
                <w:szCs w:val="20"/>
              </w:rPr>
            </w:pPr>
            <w:r w:rsidRPr="00BB4D81">
              <w:rPr>
                <w:rFonts w:ascii="Segoe UI" w:eastAsia="Calibri" w:hAnsi="Segoe UI" w:cs="Segoe UI"/>
                <w:sz w:val="20"/>
                <w:szCs w:val="20"/>
              </w:rPr>
              <w:t xml:space="preserve"> </w:t>
            </w:r>
            <w:r w:rsidR="002A4213" w:rsidRPr="00BB4D81">
              <w:rPr>
                <w:rFonts w:ascii="Segoe UI" w:eastAsia="Calibri" w:hAnsi="Segoe UI" w:cs="Segoe UI"/>
                <w:b/>
                <w:sz w:val="20"/>
                <w:szCs w:val="20"/>
              </w:rPr>
              <w:t>ANSM (blood)</w:t>
            </w:r>
          </w:p>
        </w:tc>
        <w:tc>
          <w:tcPr>
            <w:tcW w:w="1506" w:type="dxa"/>
          </w:tcPr>
          <w:p w14:paraId="5B607AAA" w14:textId="2EBA80B5" w:rsidR="002A4213" w:rsidRPr="00BB4D81" w:rsidRDefault="002A4213" w:rsidP="00D779D6">
            <w:pPr>
              <w:jc w:val="both"/>
              <w:rPr>
                <w:rFonts w:ascii="Segoe UI" w:eastAsia="Calibri" w:hAnsi="Segoe UI" w:cs="Segoe UI"/>
                <w:b/>
                <w:sz w:val="20"/>
                <w:szCs w:val="20"/>
              </w:rPr>
            </w:pPr>
            <w:r w:rsidRPr="00BB4D81">
              <w:rPr>
                <w:rFonts w:ascii="Segoe UI" w:eastAsia="Calibri" w:hAnsi="Segoe UI" w:cs="Segoe UI"/>
                <w:b/>
                <w:sz w:val="20"/>
                <w:szCs w:val="20"/>
              </w:rPr>
              <w:t>EUR</w:t>
            </w:r>
            <w:r w:rsidR="0093210F">
              <w:rPr>
                <w:rFonts w:ascii="Segoe UI" w:eastAsia="Calibri" w:hAnsi="Segoe UI" w:cs="Segoe UI"/>
                <w:b/>
                <w:sz w:val="20"/>
                <w:szCs w:val="20"/>
              </w:rPr>
              <w:t xml:space="preserve">OGTPII </w:t>
            </w:r>
            <w:r w:rsidRPr="00BB4D81">
              <w:rPr>
                <w:rFonts w:ascii="Segoe UI" w:eastAsia="Calibri" w:hAnsi="Segoe UI" w:cs="Segoe UI"/>
                <w:b/>
                <w:sz w:val="20"/>
                <w:szCs w:val="20"/>
              </w:rPr>
              <w:t>(tissues and cells)</w:t>
            </w:r>
          </w:p>
        </w:tc>
        <w:tc>
          <w:tcPr>
            <w:tcW w:w="2694" w:type="dxa"/>
          </w:tcPr>
          <w:p w14:paraId="1F4EA7D9" w14:textId="77777777" w:rsidR="002A4213" w:rsidRPr="00BB4D81" w:rsidRDefault="002A4213" w:rsidP="00D779D6">
            <w:pPr>
              <w:jc w:val="both"/>
              <w:rPr>
                <w:rFonts w:ascii="Segoe UI" w:eastAsia="Calibri" w:hAnsi="Segoe UI" w:cs="Segoe UI"/>
                <w:b/>
                <w:sz w:val="20"/>
                <w:szCs w:val="20"/>
              </w:rPr>
            </w:pPr>
            <w:r w:rsidRPr="00BB4D81">
              <w:rPr>
                <w:rFonts w:ascii="Segoe UI" w:eastAsia="Calibri" w:hAnsi="Segoe UI" w:cs="Segoe UI"/>
                <w:b/>
                <w:sz w:val="20"/>
                <w:szCs w:val="20"/>
              </w:rPr>
              <w:t>By the BTCB</w:t>
            </w:r>
          </w:p>
        </w:tc>
        <w:tc>
          <w:tcPr>
            <w:tcW w:w="3826" w:type="dxa"/>
          </w:tcPr>
          <w:p w14:paraId="2789EC60" w14:textId="77777777" w:rsidR="002A4213" w:rsidRPr="00BB4D81" w:rsidRDefault="002A4213" w:rsidP="00D779D6">
            <w:pPr>
              <w:jc w:val="both"/>
              <w:rPr>
                <w:rFonts w:ascii="Segoe UI" w:eastAsia="Calibri" w:hAnsi="Segoe UI" w:cs="Segoe UI"/>
                <w:b/>
                <w:sz w:val="20"/>
                <w:szCs w:val="20"/>
              </w:rPr>
            </w:pPr>
            <w:r w:rsidRPr="00BB4D81">
              <w:rPr>
                <w:rFonts w:ascii="Segoe UI" w:eastAsia="Calibri" w:hAnsi="Segoe UI" w:cs="Segoe UI"/>
                <w:b/>
                <w:sz w:val="20"/>
                <w:szCs w:val="20"/>
              </w:rPr>
              <w:t>By the CA</w:t>
            </w:r>
          </w:p>
        </w:tc>
      </w:tr>
      <w:tr w:rsidR="002A4213" w:rsidRPr="00BB4D81" w14:paraId="1BECAEC3" w14:textId="77777777" w:rsidTr="00D779D6">
        <w:tc>
          <w:tcPr>
            <w:tcW w:w="1324" w:type="dxa"/>
          </w:tcPr>
          <w:p w14:paraId="702265AB"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b/>
                <w:bCs/>
                <w:sz w:val="20"/>
                <w:szCs w:val="20"/>
              </w:rPr>
              <w:t xml:space="preserve">Category A: </w:t>
            </w:r>
            <w:r w:rsidRPr="00BB4D81">
              <w:rPr>
                <w:rFonts w:ascii="Segoe UI" w:eastAsia="Calibri" w:hAnsi="Segoe UI" w:cs="Segoe UI"/>
                <w:sz w:val="20"/>
                <w:szCs w:val="20"/>
              </w:rPr>
              <w:t>not on the list</w:t>
            </w:r>
          </w:p>
          <w:p w14:paraId="72A34CD3" w14:textId="77777777" w:rsidR="002A4213" w:rsidRPr="00BB4D81" w:rsidRDefault="002A4213" w:rsidP="00D779D6">
            <w:pPr>
              <w:jc w:val="both"/>
              <w:rPr>
                <w:rFonts w:ascii="Segoe UI" w:eastAsia="Calibri" w:hAnsi="Segoe UI" w:cs="Segoe UI"/>
                <w:sz w:val="20"/>
                <w:szCs w:val="20"/>
              </w:rPr>
            </w:pPr>
          </w:p>
        </w:tc>
        <w:tc>
          <w:tcPr>
            <w:tcW w:w="1506" w:type="dxa"/>
          </w:tcPr>
          <w:p w14:paraId="7DC736A8"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b/>
                <w:bCs/>
                <w:sz w:val="20"/>
                <w:szCs w:val="20"/>
              </w:rPr>
              <w:t xml:space="preserve">Red: </w:t>
            </w:r>
            <w:r w:rsidRPr="00BB4D81">
              <w:rPr>
                <w:rFonts w:ascii="Segoe UI" w:eastAsia="Calibri" w:hAnsi="Segoe UI" w:cs="Segoe UI"/>
                <w:sz w:val="20"/>
                <w:szCs w:val="20"/>
              </w:rPr>
              <w:t>Controlled study/Follow up programs</w:t>
            </w:r>
          </w:p>
          <w:p w14:paraId="5E88BC8C" w14:textId="77777777" w:rsidR="002A4213" w:rsidRPr="00BB4D81" w:rsidRDefault="002A4213" w:rsidP="00D779D6">
            <w:pPr>
              <w:jc w:val="both"/>
              <w:rPr>
                <w:rFonts w:ascii="Segoe UI" w:eastAsia="Calibri" w:hAnsi="Segoe UI" w:cs="Segoe UI"/>
                <w:sz w:val="20"/>
                <w:szCs w:val="20"/>
              </w:rPr>
            </w:pPr>
          </w:p>
        </w:tc>
        <w:tc>
          <w:tcPr>
            <w:tcW w:w="2694" w:type="dxa"/>
          </w:tcPr>
          <w:p w14:paraId="3EB627E4"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Application request</w:t>
            </w:r>
          </w:p>
          <w:p w14:paraId="6D253848"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Dossier</w:t>
            </w:r>
          </w:p>
          <w:p w14:paraId="47ED15EC"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Initial questionnaire</w:t>
            </w:r>
          </w:p>
          <w:p w14:paraId="6D6ECAA2"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Risk assessment</w:t>
            </w:r>
          </w:p>
          <w:p w14:paraId="4E60A921"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Proposal follow up</w:t>
            </w:r>
          </w:p>
          <w:p w14:paraId="6D452FA0"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Clinical investigational plan</w:t>
            </w:r>
          </w:p>
          <w:p w14:paraId="124108C3"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Comparison to standard therapy</w:t>
            </w:r>
          </w:p>
          <w:p w14:paraId="63F9C939"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Consider external advisory</w:t>
            </w:r>
          </w:p>
          <w:p w14:paraId="00A98C3E" w14:textId="77777777" w:rsidR="002A4213" w:rsidRPr="00BB4D81" w:rsidRDefault="002A4213" w:rsidP="00D779D6">
            <w:pPr>
              <w:jc w:val="both"/>
              <w:rPr>
                <w:rFonts w:ascii="Segoe UI" w:eastAsia="Calibri" w:hAnsi="Segoe UI" w:cs="Segoe UI"/>
                <w:sz w:val="20"/>
                <w:szCs w:val="20"/>
              </w:rPr>
            </w:pPr>
          </w:p>
        </w:tc>
        <w:tc>
          <w:tcPr>
            <w:tcW w:w="3826" w:type="dxa"/>
          </w:tcPr>
          <w:p w14:paraId="0375D5A8"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Consider site inspection after the desk-base review</w:t>
            </w:r>
          </w:p>
          <w:p w14:paraId="5A924B2C"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Consider external advisory</w:t>
            </w:r>
          </w:p>
          <w:p w14:paraId="395AC4B7" w14:textId="25F3440D"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Three authori</w:t>
            </w:r>
            <w:r w:rsidR="00667981">
              <w:rPr>
                <w:rFonts w:ascii="Segoe UI" w:eastAsia="Calibri" w:hAnsi="Segoe UI" w:cs="Segoe UI"/>
                <w:sz w:val="20"/>
                <w:szCs w:val="20"/>
              </w:rPr>
              <w:t>s</w:t>
            </w:r>
            <w:r w:rsidRPr="00BB4D81">
              <w:rPr>
                <w:rFonts w:ascii="Segoe UI" w:eastAsia="Calibri" w:hAnsi="Segoe UI" w:cs="Segoe UI"/>
                <w:sz w:val="20"/>
                <w:szCs w:val="20"/>
              </w:rPr>
              <w:t>ation steps:</w:t>
            </w:r>
          </w:p>
          <w:p w14:paraId="6A396004"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 xml:space="preserve">-Clinical investigational plan, </w:t>
            </w:r>
          </w:p>
          <w:p w14:paraId="36257ADB" w14:textId="171756F8"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-Conditional/temporary authori</w:t>
            </w:r>
            <w:r w:rsidR="000538A1">
              <w:rPr>
                <w:rFonts w:ascii="Segoe UI" w:eastAsia="Calibri" w:hAnsi="Segoe UI" w:cs="Segoe UI"/>
                <w:sz w:val="20"/>
                <w:szCs w:val="20"/>
              </w:rPr>
              <w:t>s</w:t>
            </w:r>
            <w:r w:rsidRPr="00BB4D81">
              <w:rPr>
                <w:rFonts w:ascii="Segoe UI" w:eastAsia="Calibri" w:hAnsi="Segoe UI" w:cs="Segoe UI"/>
                <w:sz w:val="20"/>
                <w:szCs w:val="20"/>
              </w:rPr>
              <w:t xml:space="preserve">ation  </w:t>
            </w:r>
          </w:p>
          <w:p w14:paraId="56E6F1A2" w14:textId="5D76B1C6"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-Full authori</w:t>
            </w:r>
            <w:r w:rsidR="00667981">
              <w:rPr>
                <w:rFonts w:ascii="Segoe UI" w:eastAsia="Calibri" w:hAnsi="Segoe UI" w:cs="Segoe UI"/>
                <w:sz w:val="20"/>
                <w:szCs w:val="20"/>
              </w:rPr>
              <w:t>s</w:t>
            </w:r>
            <w:r w:rsidRPr="00BB4D81">
              <w:rPr>
                <w:rFonts w:ascii="Segoe UI" w:eastAsia="Calibri" w:hAnsi="Segoe UI" w:cs="Segoe UI"/>
                <w:sz w:val="20"/>
                <w:szCs w:val="20"/>
              </w:rPr>
              <w:t xml:space="preserve">ation that includes a follow up </w:t>
            </w:r>
          </w:p>
          <w:p w14:paraId="74D0B807" w14:textId="75702216"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If it’s a new BTC, non</w:t>
            </w:r>
            <w:r w:rsidR="00667981">
              <w:rPr>
                <w:rFonts w:ascii="Segoe UI" w:eastAsia="Calibri" w:hAnsi="Segoe UI" w:cs="Segoe UI"/>
                <w:sz w:val="20"/>
                <w:szCs w:val="20"/>
              </w:rPr>
              <w:t>-</w:t>
            </w:r>
            <w:r w:rsidRPr="00BB4D81">
              <w:rPr>
                <w:rFonts w:ascii="Segoe UI" w:eastAsia="Calibri" w:hAnsi="Segoe UI" w:cs="Segoe UI"/>
                <w:sz w:val="20"/>
                <w:szCs w:val="20"/>
              </w:rPr>
              <w:t>authori</w:t>
            </w:r>
            <w:r w:rsidR="00667981">
              <w:rPr>
                <w:rFonts w:ascii="Segoe UI" w:eastAsia="Calibri" w:hAnsi="Segoe UI" w:cs="Segoe UI"/>
                <w:sz w:val="20"/>
                <w:szCs w:val="20"/>
              </w:rPr>
              <w:t>s</w:t>
            </w:r>
            <w:r w:rsidRPr="00BB4D81">
              <w:rPr>
                <w:rFonts w:ascii="Segoe UI" w:eastAsia="Calibri" w:hAnsi="Segoe UI" w:cs="Segoe UI"/>
                <w:sz w:val="20"/>
                <w:szCs w:val="20"/>
              </w:rPr>
              <w:t>ed in any European BTCB, an European authori</w:t>
            </w:r>
            <w:r w:rsidR="000538A1">
              <w:rPr>
                <w:rFonts w:ascii="Segoe UI" w:eastAsia="Calibri" w:hAnsi="Segoe UI" w:cs="Segoe UI"/>
                <w:sz w:val="20"/>
                <w:szCs w:val="20"/>
              </w:rPr>
              <w:t>s</w:t>
            </w:r>
            <w:r w:rsidRPr="00BB4D81">
              <w:rPr>
                <w:rFonts w:ascii="Segoe UI" w:eastAsia="Calibri" w:hAnsi="Segoe UI" w:cs="Segoe UI"/>
                <w:sz w:val="20"/>
                <w:szCs w:val="20"/>
              </w:rPr>
              <w:t>ation should be needed</w:t>
            </w:r>
          </w:p>
          <w:p w14:paraId="0630DF21" w14:textId="77777777" w:rsidR="002A4213" w:rsidRPr="00BB4D81" w:rsidRDefault="002A4213" w:rsidP="00D779D6">
            <w:pPr>
              <w:jc w:val="both"/>
              <w:rPr>
                <w:rFonts w:ascii="Segoe UI" w:eastAsia="Calibri" w:hAnsi="Segoe UI" w:cs="Segoe UI"/>
                <w:sz w:val="20"/>
                <w:szCs w:val="20"/>
              </w:rPr>
            </w:pPr>
          </w:p>
        </w:tc>
      </w:tr>
      <w:tr w:rsidR="002A4213" w:rsidRPr="00BB4D81" w14:paraId="5DC67299" w14:textId="77777777" w:rsidTr="00D779D6">
        <w:tc>
          <w:tcPr>
            <w:tcW w:w="1324" w:type="dxa"/>
          </w:tcPr>
          <w:p w14:paraId="61F9240A" w14:textId="77777777" w:rsidR="002A4213" w:rsidRPr="00BB4D81" w:rsidRDefault="002A4213" w:rsidP="00D779D6">
            <w:pPr>
              <w:jc w:val="both"/>
              <w:rPr>
                <w:rFonts w:ascii="Segoe UI" w:eastAsia="Calibri" w:hAnsi="Segoe UI" w:cs="Segoe UI"/>
                <w:b/>
                <w:bCs/>
                <w:sz w:val="20"/>
                <w:szCs w:val="20"/>
              </w:rPr>
            </w:pPr>
            <w:r w:rsidRPr="00BB4D81">
              <w:rPr>
                <w:rFonts w:ascii="Segoe UI" w:eastAsia="Calibri" w:hAnsi="Segoe UI" w:cs="Segoe UI"/>
                <w:b/>
                <w:bCs/>
                <w:sz w:val="20"/>
                <w:szCs w:val="20"/>
              </w:rPr>
              <w:t xml:space="preserve">Category B: </w:t>
            </w:r>
            <w:r w:rsidRPr="00BB4D81">
              <w:rPr>
                <w:rFonts w:ascii="Segoe UI" w:eastAsia="Calibri" w:hAnsi="Segoe UI" w:cs="Segoe UI"/>
                <w:bCs/>
                <w:sz w:val="20"/>
                <w:szCs w:val="20"/>
              </w:rPr>
              <w:t>registered; major modification</w:t>
            </w:r>
          </w:p>
          <w:p w14:paraId="2DE86C20" w14:textId="77777777" w:rsidR="002A4213" w:rsidRPr="00BB4D81" w:rsidRDefault="002A4213" w:rsidP="00D779D6">
            <w:pPr>
              <w:jc w:val="both"/>
              <w:rPr>
                <w:rFonts w:ascii="Segoe UI" w:eastAsia="Calibri" w:hAnsi="Segoe UI" w:cs="Segoe UI"/>
                <w:b/>
                <w:bCs/>
                <w:sz w:val="20"/>
                <w:szCs w:val="20"/>
              </w:rPr>
            </w:pPr>
          </w:p>
        </w:tc>
        <w:tc>
          <w:tcPr>
            <w:tcW w:w="1506" w:type="dxa"/>
          </w:tcPr>
          <w:p w14:paraId="4888CEF5" w14:textId="77777777" w:rsidR="002A4213" w:rsidRPr="00BB4D81" w:rsidRDefault="002A4213" w:rsidP="00D779D6">
            <w:pPr>
              <w:jc w:val="both"/>
              <w:rPr>
                <w:rFonts w:ascii="Segoe UI" w:eastAsia="Calibri" w:hAnsi="Segoe UI" w:cs="Segoe UI"/>
                <w:bCs/>
                <w:sz w:val="20"/>
                <w:szCs w:val="20"/>
              </w:rPr>
            </w:pPr>
            <w:r w:rsidRPr="00BB4D81">
              <w:rPr>
                <w:rFonts w:ascii="Segoe UI" w:eastAsia="Calibri" w:hAnsi="Segoe UI" w:cs="Segoe UI"/>
                <w:b/>
                <w:bCs/>
                <w:sz w:val="20"/>
                <w:szCs w:val="20"/>
              </w:rPr>
              <w:t xml:space="preserve">Orange: </w:t>
            </w:r>
            <w:r w:rsidRPr="00BB4D81">
              <w:rPr>
                <w:rFonts w:ascii="Segoe UI" w:eastAsia="Calibri" w:hAnsi="Segoe UI" w:cs="Segoe UI"/>
                <w:bCs/>
                <w:sz w:val="20"/>
                <w:szCs w:val="20"/>
              </w:rPr>
              <w:t>Structured plan for active collection of a specific set of data</w:t>
            </w:r>
          </w:p>
          <w:p w14:paraId="437863D9" w14:textId="77777777" w:rsidR="002A4213" w:rsidRPr="00BB4D81" w:rsidRDefault="002A4213" w:rsidP="00D779D6">
            <w:pPr>
              <w:jc w:val="both"/>
              <w:rPr>
                <w:rFonts w:ascii="Segoe UI" w:eastAsia="Calibri" w:hAnsi="Segoe UI" w:cs="Segoe UI"/>
                <w:b/>
                <w:bCs/>
                <w:sz w:val="20"/>
                <w:szCs w:val="20"/>
              </w:rPr>
            </w:pPr>
          </w:p>
        </w:tc>
        <w:tc>
          <w:tcPr>
            <w:tcW w:w="2694" w:type="dxa"/>
          </w:tcPr>
          <w:p w14:paraId="7C9B434F"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Application request</w:t>
            </w:r>
          </w:p>
          <w:p w14:paraId="6B7238D7"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Dossier</w:t>
            </w:r>
          </w:p>
          <w:p w14:paraId="17FB75C9"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Initial questionnaire</w:t>
            </w:r>
          </w:p>
          <w:p w14:paraId="24E2663B"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Risk assessment</w:t>
            </w:r>
          </w:p>
          <w:p w14:paraId="1C78A07B"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Proposal follow up</w:t>
            </w:r>
          </w:p>
          <w:p w14:paraId="5AB14741"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Clinical investigational plan</w:t>
            </w:r>
          </w:p>
          <w:p w14:paraId="5E0767C5"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Consider external advisory</w:t>
            </w:r>
          </w:p>
          <w:p w14:paraId="5D24E4A1" w14:textId="77777777" w:rsidR="002A4213" w:rsidRPr="00BB4D81" w:rsidRDefault="002A4213" w:rsidP="00D779D6">
            <w:pPr>
              <w:jc w:val="both"/>
              <w:rPr>
                <w:rFonts w:ascii="Segoe UI" w:eastAsia="Calibri" w:hAnsi="Segoe UI" w:cs="Segoe UI"/>
                <w:sz w:val="20"/>
                <w:szCs w:val="20"/>
              </w:rPr>
            </w:pPr>
          </w:p>
        </w:tc>
        <w:tc>
          <w:tcPr>
            <w:tcW w:w="3826" w:type="dxa"/>
          </w:tcPr>
          <w:p w14:paraId="6B63DC30"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Consider site inspection</w:t>
            </w:r>
          </w:p>
          <w:p w14:paraId="71030642"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Consider external advisory</w:t>
            </w:r>
          </w:p>
          <w:p w14:paraId="1C1416AD" w14:textId="69D89675"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Three authori</w:t>
            </w:r>
            <w:r w:rsidR="000538A1">
              <w:rPr>
                <w:rFonts w:ascii="Segoe UI" w:eastAsia="Calibri" w:hAnsi="Segoe UI" w:cs="Segoe UI"/>
                <w:sz w:val="20"/>
                <w:szCs w:val="20"/>
              </w:rPr>
              <w:t>s</w:t>
            </w:r>
            <w:r w:rsidRPr="00BB4D81">
              <w:rPr>
                <w:rFonts w:ascii="Segoe UI" w:eastAsia="Calibri" w:hAnsi="Segoe UI" w:cs="Segoe UI"/>
                <w:sz w:val="20"/>
                <w:szCs w:val="20"/>
              </w:rPr>
              <w:t>ation steps:</w:t>
            </w:r>
          </w:p>
          <w:p w14:paraId="49B6B8B3"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 xml:space="preserve">-Clinical investigational plan, </w:t>
            </w:r>
          </w:p>
          <w:p w14:paraId="01D87A4E" w14:textId="3510F912"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-Conditional/temporary authori</w:t>
            </w:r>
            <w:r w:rsidR="000538A1">
              <w:rPr>
                <w:rFonts w:ascii="Segoe UI" w:eastAsia="Calibri" w:hAnsi="Segoe UI" w:cs="Segoe UI"/>
                <w:sz w:val="20"/>
                <w:szCs w:val="20"/>
              </w:rPr>
              <w:t>s</w:t>
            </w:r>
            <w:r w:rsidRPr="00BB4D81">
              <w:rPr>
                <w:rFonts w:ascii="Segoe UI" w:eastAsia="Calibri" w:hAnsi="Segoe UI" w:cs="Segoe UI"/>
                <w:sz w:val="20"/>
                <w:szCs w:val="20"/>
              </w:rPr>
              <w:t xml:space="preserve">ation  </w:t>
            </w:r>
          </w:p>
          <w:p w14:paraId="68D8BC8E" w14:textId="5FF4E77E" w:rsidR="002A4213" w:rsidRPr="00BB4D81" w:rsidRDefault="002A4213" w:rsidP="00667981">
            <w:pPr>
              <w:jc w:val="both"/>
              <w:rPr>
                <w:rFonts w:ascii="Segoe UI" w:eastAsia="Calibri" w:hAnsi="Segoe UI" w:cs="Segoe UI"/>
                <w:sz w:val="20"/>
                <w:szCs w:val="20"/>
              </w:rPr>
            </w:pPr>
            <w:r w:rsidRPr="00BB4D81">
              <w:rPr>
                <w:rFonts w:ascii="Segoe UI" w:eastAsia="Calibri" w:hAnsi="Segoe UI" w:cs="Segoe UI"/>
                <w:sz w:val="20"/>
                <w:szCs w:val="20"/>
              </w:rPr>
              <w:t>-Full authori</w:t>
            </w:r>
            <w:r w:rsidR="00667981">
              <w:rPr>
                <w:rFonts w:ascii="Segoe UI" w:eastAsia="Calibri" w:hAnsi="Segoe UI" w:cs="Segoe UI"/>
                <w:sz w:val="20"/>
                <w:szCs w:val="20"/>
              </w:rPr>
              <w:t>s</w:t>
            </w:r>
            <w:r w:rsidRPr="00BB4D81">
              <w:rPr>
                <w:rFonts w:ascii="Segoe UI" w:eastAsia="Calibri" w:hAnsi="Segoe UI" w:cs="Segoe UI"/>
                <w:sz w:val="20"/>
                <w:szCs w:val="20"/>
              </w:rPr>
              <w:t>ation that includes a follow up</w:t>
            </w:r>
          </w:p>
        </w:tc>
      </w:tr>
      <w:tr w:rsidR="002A4213" w:rsidRPr="00BB4D81" w14:paraId="2209D6EC" w14:textId="77777777" w:rsidTr="00D779D6">
        <w:tc>
          <w:tcPr>
            <w:tcW w:w="1324" w:type="dxa"/>
          </w:tcPr>
          <w:p w14:paraId="21272E5A" w14:textId="77777777" w:rsidR="002A4213" w:rsidRPr="00BB4D81" w:rsidRDefault="002A4213" w:rsidP="00D779D6">
            <w:pPr>
              <w:jc w:val="both"/>
              <w:rPr>
                <w:rFonts w:ascii="Segoe UI" w:eastAsia="Calibri" w:hAnsi="Segoe UI" w:cs="Segoe UI"/>
                <w:b/>
                <w:bCs/>
                <w:sz w:val="20"/>
                <w:szCs w:val="20"/>
              </w:rPr>
            </w:pPr>
            <w:r w:rsidRPr="00BB4D81">
              <w:rPr>
                <w:rFonts w:ascii="Segoe UI" w:eastAsia="Calibri" w:hAnsi="Segoe UI" w:cs="Segoe UI"/>
                <w:b/>
                <w:bCs/>
                <w:sz w:val="20"/>
                <w:szCs w:val="20"/>
              </w:rPr>
              <w:t xml:space="preserve">Category C: </w:t>
            </w:r>
            <w:r w:rsidRPr="00BB4D81">
              <w:rPr>
                <w:rFonts w:ascii="Segoe UI" w:eastAsia="Calibri" w:hAnsi="Segoe UI" w:cs="Segoe UI"/>
                <w:bCs/>
                <w:sz w:val="20"/>
                <w:szCs w:val="20"/>
              </w:rPr>
              <w:t>registered; non-major modification</w:t>
            </w:r>
          </w:p>
          <w:p w14:paraId="7729F335" w14:textId="77777777" w:rsidR="002A4213" w:rsidRPr="00BB4D81" w:rsidRDefault="002A4213" w:rsidP="00D779D6">
            <w:pPr>
              <w:jc w:val="both"/>
              <w:rPr>
                <w:rFonts w:ascii="Segoe UI" w:eastAsia="Calibri" w:hAnsi="Segoe UI" w:cs="Segoe UI"/>
                <w:b/>
                <w:bCs/>
                <w:sz w:val="20"/>
                <w:szCs w:val="20"/>
              </w:rPr>
            </w:pPr>
          </w:p>
        </w:tc>
        <w:tc>
          <w:tcPr>
            <w:tcW w:w="1506" w:type="dxa"/>
          </w:tcPr>
          <w:p w14:paraId="1F642128" w14:textId="77777777" w:rsidR="002A4213" w:rsidRPr="00BB4D81" w:rsidRDefault="002A4213" w:rsidP="00D779D6">
            <w:pPr>
              <w:jc w:val="both"/>
              <w:rPr>
                <w:rFonts w:ascii="Segoe UI" w:eastAsia="Calibri" w:hAnsi="Segoe UI" w:cs="Segoe UI"/>
                <w:b/>
                <w:bCs/>
                <w:sz w:val="20"/>
                <w:szCs w:val="20"/>
              </w:rPr>
            </w:pPr>
            <w:r w:rsidRPr="00BB4D81">
              <w:rPr>
                <w:rFonts w:ascii="Segoe UI" w:eastAsia="Calibri" w:hAnsi="Segoe UI" w:cs="Segoe UI"/>
                <w:b/>
                <w:bCs/>
                <w:sz w:val="20"/>
                <w:szCs w:val="20"/>
              </w:rPr>
              <w:t xml:space="preserve">Yellow: </w:t>
            </w:r>
            <w:r w:rsidRPr="00BB4D81">
              <w:rPr>
                <w:rFonts w:ascii="Segoe UI" w:eastAsia="Calibri" w:hAnsi="Segoe UI" w:cs="Segoe UI"/>
                <w:bCs/>
                <w:sz w:val="20"/>
                <w:szCs w:val="20"/>
              </w:rPr>
              <w:t>Routine follow up programs</w:t>
            </w:r>
          </w:p>
        </w:tc>
        <w:tc>
          <w:tcPr>
            <w:tcW w:w="2694" w:type="dxa"/>
          </w:tcPr>
          <w:p w14:paraId="5F58BA65"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Application request</w:t>
            </w:r>
          </w:p>
          <w:p w14:paraId="69F39DBD"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Dossier*</w:t>
            </w:r>
          </w:p>
          <w:p w14:paraId="41F74ED3"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Initial questionnaire</w:t>
            </w:r>
          </w:p>
          <w:p w14:paraId="4797D576"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Risk assessment</w:t>
            </w:r>
          </w:p>
          <w:p w14:paraId="26E4DD6B"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Proposal follow up</w:t>
            </w:r>
          </w:p>
        </w:tc>
        <w:tc>
          <w:tcPr>
            <w:tcW w:w="3826" w:type="dxa"/>
          </w:tcPr>
          <w:p w14:paraId="350F2BA3"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Approval of the follow up plan</w:t>
            </w:r>
          </w:p>
        </w:tc>
      </w:tr>
      <w:tr w:rsidR="002A4213" w:rsidRPr="00BB4D81" w14:paraId="684B61A2" w14:textId="77777777" w:rsidTr="00D779D6">
        <w:tc>
          <w:tcPr>
            <w:tcW w:w="1324" w:type="dxa"/>
          </w:tcPr>
          <w:p w14:paraId="6E86D2E1" w14:textId="77777777" w:rsidR="002A4213" w:rsidRPr="00BB4D81" w:rsidRDefault="002A4213" w:rsidP="00D779D6">
            <w:pPr>
              <w:jc w:val="both"/>
              <w:rPr>
                <w:rFonts w:ascii="Segoe UI" w:eastAsia="Calibri" w:hAnsi="Segoe UI" w:cs="Segoe UI"/>
                <w:bCs/>
                <w:sz w:val="20"/>
                <w:szCs w:val="20"/>
              </w:rPr>
            </w:pPr>
            <w:r w:rsidRPr="00BB4D81">
              <w:rPr>
                <w:rFonts w:ascii="Segoe UI" w:eastAsia="Calibri" w:hAnsi="Segoe UI" w:cs="Segoe UI"/>
                <w:b/>
                <w:bCs/>
                <w:sz w:val="20"/>
                <w:szCs w:val="20"/>
              </w:rPr>
              <w:t xml:space="preserve">Category D: </w:t>
            </w:r>
            <w:r w:rsidRPr="00BB4D81">
              <w:rPr>
                <w:rFonts w:ascii="Segoe UI" w:eastAsia="Calibri" w:hAnsi="Segoe UI" w:cs="Segoe UI"/>
                <w:bCs/>
                <w:sz w:val="20"/>
                <w:szCs w:val="20"/>
              </w:rPr>
              <w:t>registered; minor-modification</w:t>
            </w:r>
          </w:p>
          <w:p w14:paraId="4554F5F4" w14:textId="77777777" w:rsidR="002A4213" w:rsidRPr="00BB4D81" w:rsidRDefault="002A4213" w:rsidP="00D779D6">
            <w:pPr>
              <w:jc w:val="both"/>
              <w:rPr>
                <w:rFonts w:ascii="Segoe UI" w:eastAsia="Calibri" w:hAnsi="Segoe UI" w:cs="Segoe UI"/>
                <w:b/>
                <w:bCs/>
                <w:sz w:val="20"/>
                <w:szCs w:val="20"/>
              </w:rPr>
            </w:pPr>
          </w:p>
        </w:tc>
        <w:tc>
          <w:tcPr>
            <w:tcW w:w="1506" w:type="dxa"/>
          </w:tcPr>
          <w:p w14:paraId="676C60FD" w14:textId="77777777" w:rsidR="002A4213" w:rsidRPr="00BB4D81" w:rsidRDefault="002A4213" w:rsidP="00D779D6">
            <w:pPr>
              <w:jc w:val="both"/>
              <w:rPr>
                <w:rFonts w:ascii="Segoe UI" w:eastAsia="Calibri" w:hAnsi="Segoe UI" w:cs="Segoe UI"/>
                <w:b/>
                <w:bCs/>
                <w:sz w:val="20"/>
                <w:szCs w:val="20"/>
              </w:rPr>
            </w:pPr>
            <w:r w:rsidRPr="00BB4D81">
              <w:rPr>
                <w:rFonts w:ascii="Segoe UI" w:eastAsia="Calibri" w:hAnsi="Segoe UI" w:cs="Segoe UI"/>
                <w:b/>
                <w:bCs/>
                <w:sz w:val="20"/>
                <w:szCs w:val="20"/>
              </w:rPr>
              <w:t xml:space="preserve">Green: </w:t>
            </w:r>
            <w:r w:rsidRPr="00BB4D81">
              <w:rPr>
                <w:rFonts w:ascii="Segoe UI" w:eastAsia="Calibri" w:hAnsi="Segoe UI" w:cs="Segoe UI"/>
                <w:bCs/>
                <w:sz w:val="20"/>
                <w:szCs w:val="20"/>
              </w:rPr>
              <w:t>SARE Report</w:t>
            </w:r>
          </w:p>
        </w:tc>
        <w:tc>
          <w:tcPr>
            <w:tcW w:w="2694" w:type="dxa"/>
          </w:tcPr>
          <w:p w14:paraId="43D1B176"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Application request</w:t>
            </w:r>
          </w:p>
          <w:p w14:paraId="5E91D6C1"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Dossier*</w:t>
            </w:r>
          </w:p>
          <w:p w14:paraId="1BE8909E"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Initial questionnaire</w:t>
            </w:r>
          </w:p>
          <w:p w14:paraId="4400C375"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Risk assessment</w:t>
            </w:r>
          </w:p>
        </w:tc>
        <w:tc>
          <w:tcPr>
            <w:tcW w:w="3826" w:type="dxa"/>
          </w:tcPr>
          <w:p w14:paraId="6C5732F9" w14:textId="77777777" w:rsidR="002A4213" w:rsidRPr="00BB4D81" w:rsidRDefault="002A4213" w:rsidP="00D779D6">
            <w:pPr>
              <w:jc w:val="both"/>
              <w:rPr>
                <w:rFonts w:ascii="Segoe UI" w:eastAsia="Calibri" w:hAnsi="Segoe UI" w:cs="Segoe UI"/>
                <w:sz w:val="20"/>
                <w:szCs w:val="20"/>
              </w:rPr>
            </w:pPr>
            <w:r w:rsidRPr="00BB4D81">
              <w:rPr>
                <w:rFonts w:ascii="Segoe UI" w:eastAsia="Calibri" w:hAnsi="Segoe UI" w:cs="Segoe UI"/>
                <w:sz w:val="20"/>
                <w:szCs w:val="20"/>
              </w:rPr>
              <w:t>If the CA agrees with the risk assessment, no further actions are needed</w:t>
            </w:r>
          </w:p>
        </w:tc>
      </w:tr>
    </w:tbl>
    <w:p w14:paraId="0F2569B7" w14:textId="672FF6F6" w:rsidR="002A4213" w:rsidRPr="00BB4D81" w:rsidRDefault="006C6C3A" w:rsidP="00BB2994">
      <w:pPr>
        <w:jc w:val="both"/>
        <w:rPr>
          <w:rFonts w:ascii="Segoe UI" w:eastAsia="Calibri" w:hAnsi="Segoe UI" w:cs="Segoe UI"/>
          <w:sz w:val="20"/>
          <w:szCs w:val="20"/>
        </w:rPr>
      </w:pPr>
      <w:r w:rsidRPr="00BB4D81">
        <w:rPr>
          <w:rFonts w:ascii="Segoe UI" w:eastAsia="Calibri" w:hAnsi="Segoe UI" w:cs="Segoe UI"/>
          <w:sz w:val="20"/>
          <w:szCs w:val="20"/>
        </w:rPr>
        <w:t xml:space="preserve">Table </w:t>
      </w:r>
      <w:r w:rsidR="00EB4F53">
        <w:rPr>
          <w:rFonts w:ascii="Segoe UI" w:eastAsia="Calibri" w:hAnsi="Segoe UI" w:cs="Segoe UI"/>
          <w:sz w:val="20"/>
          <w:szCs w:val="20"/>
        </w:rPr>
        <w:t>11</w:t>
      </w:r>
      <w:r w:rsidRPr="00BB4D81">
        <w:rPr>
          <w:rFonts w:ascii="Segoe UI" w:eastAsia="Calibri" w:hAnsi="Segoe UI" w:cs="Segoe UI"/>
          <w:sz w:val="20"/>
          <w:szCs w:val="20"/>
        </w:rPr>
        <w:t xml:space="preserve">: Actions to be taken when application submitted </w:t>
      </w:r>
    </w:p>
    <w:p w14:paraId="182E99AA" w14:textId="57CE02DD" w:rsidR="00FE75DF" w:rsidRDefault="00FE75DF">
      <w:pPr>
        <w:rPr>
          <w:lang w:eastAsia="en-US"/>
        </w:rPr>
      </w:pPr>
      <w:r>
        <w:rPr>
          <w:lang w:eastAsia="en-US"/>
        </w:rPr>
        <w:br w:type="page"/>
      </w:r>
    </w:p>
    <w:p w14:paraId="3ACB0E88" w14:textId="3506244C" w:rsidR="0092111D" w:rsidRPr="007857CF" w:rsidRDefault="0092111D" w:rsidP="0092111D">
      <w:pPr>
        <w:pStyle w:val="Heading3"/>
        <w:jc w:val="both"/>
        <w:rPr>
          <w:rFonts w:eastAsia="Times New Roman"/>
          <w:b/>
          <w:lang w:eastAsia="en-US"/>
        </w:rPr>
      </w:pPr>
      <w:bookmarkStart w:id="13" w:name="_Toc48388679"/>
      <w:r w:rsidRPr="007857CF">
        <w:rPr>
          <w:rFonts w:eastAsia="Times New Roman"/>
          <w:b/>
          <w:lang w:eastAsia="en-US"/>
        </w:rPr>
        <w:t>Authorisation</w:t>
      </w:r>
      <w:bookmarkEnd w:id="13"/>
    </w:p>
    <w:p w14:paraId="5F9C7F8D" w14:textId="4D78F48C" w:rsidR="0092111D" w:rsidRPr="00BB4D81" w:rsidRDefault="0092111D">
      <w:pPr>
        <w:rPr>
          <w:lang w:eastAsia="en-US"/>
        </w:rPr>
      </w:pPr>
    </w:p>
    <w:p w14:paraId="215262E0" w14:textId="774962B5" w:rsidR="00267A88" w:rsidRPr="007857CF" w:rsidRDefault="00267A88" w:rsidP="00B560AD">
      <w:pPr>
        <w:jc w:val="both"/>
        <w:rPr>
          <w:rFonts w:ascii="Segoe UI" w:eastAsia="Calibri" w:hAnsi="Segoe UI" w:cs="Segoe UI"/>
          <w:b/>
          <w:sz w:val="20"/>
          <w:szCs w:val="20"/>
        </w:rPr>
      </w:pPr>
      <w:r w:rsidRPr="007857CF">
        <w:rPr>
          <w:rFonts w:ascii="Segoe UI" w:eastAsia="Calibri" w:hAnsi="Segoe UI" w:cs="Segoe UI"/>
          <w:b/>
          <w:sz w:val="20"/>
          <w:szCs w:val="20"/>
        </w:rPr>
        <w:t>Authorisation – WP5</w:t>
      </w:r>
    </w:p>
    <w:p w14:paraId="4A25E8F1" w14:textId="3E280B9D" w:rsidR="00B560AD" w:rsidRPr="00BB4D81" w:rsidRDefault="00B560AD" w:rsidP="00B560AD">
      <w:pPr>
        <w:jc w:val="both"/>
        <w:rPr>
          <w:rFonts w:ascii="Segoe UI" w:eastAsia="Calibri" w:hAnsi="Segoe UI" w:cs="Segoe UI"/>
          <w:sz w:val="20"/>
          <w:szCs w:val="20"/>
        </w:rPr>
      </w:pPr>
      <w:r w:rsidRPr="00BB4D81">
        <w:rPr>
          <w:rFonts w:ascii="Segoe UI" w:eastAsia="Calibri" w:hAnsi="Segoe UI" w:cs="Segoe UI"/>
          <w:sz w:val="20"/>
          <w:szCs w:val="20"/>
        </w:rPr>
        <w:t>A question on the survey was used to determine the scope of the authorisations in Member States. A number of options were provided and these are detailed below:</w:t>
      </w:r>
    </w:p>
    <w:p w14:paraId="2B664802" w14:textId="77777777" w:rsidR="00B560AD" w:rsidRPr="00BB4D81" w:rsidRDefault="00B560AD" w:rsidP="00B560AD">
      <w:pPr>
        <w:jc w:val="both"/>
        <w:rPr>
          <w:rFonts w:ascii="Segoe UI" w:eastAsia="Calibri" w:hAnsi="Segoe UI" w:cs="Segoe UI"/>
          <w:sz w:val="20"/>
          <w:szCs w:val="20"/>
        </w:rPr>
      </w:pPr>
      <w:r w:rsidRPr="00BB4D81">
        <w:rPr>
          <w:rFonts w:ascii="Calibri" w:eastAsia="Calibri" w:hAnsi="Calibri" w:cs="Times New Roman"/>
          <w:noProof/>
          <w:lang w:eastAsia="en-IE"/>
        </w:rPr>
        <w:drawing>
          <wp:inline distT="0" distB="0" distL="0" distR="0" wp14:anchorId="7DA49983" wp14:editId="2EA2391E">
            <wp:extent cx="5387743" cy="1885950"/>
            <wp:effectExtent l="0" t="0" r="3810" b="0"/>
            <wp:docPr id="18" name="Picture 3" descr="table2596732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596732690.png"/>
                    <pic:cNvPicPr>
                      <a:picLocks noChangeAspect="1"/>
                    </pic:cNvPicPr>
                  </pic:nvPicPr>
                  <pic:blipFill>
                    <a:blip r:embed="rId13"/>
                    <a:stretch>
                      <a:fillRect/>
                    </a:stretch>
                  </pic:blipFill>
                  <pic:spPr>
                    <a:xfrm>
                      <a:off x="0" y="0"/>
                      <a:ext cx="5392055" cy="1887460"/>
                    </a:xfrm>
                    <a:prstGeom prst="rect">
                      <a:avLst/>
                    </a:prstGeom>
                  </pic:spPr>
                </pic:pic>
              </a:graphicData>
            </a:graphic>
          </wp:inline>
        </w:drawing>
      </w:r>
    </w:p>
    <w:p w14:paraId="20D678D5" w14:textId="362229E3" w:rsidR="00F52D0F" w:rsidRPr="00BB4D81" w:rsidRDefault="00F52D0F" w:rsidP="00B560AD">
      <w:pPr>
        <w:jc w:val="both"/>
        <w:rPr>
          <w:rFonts w:ascii="Segoe UI" w:eastAsia="Calibri" w:hAnsi="Segoe UI" w:cs="Segoe UI"/>
          <w:sz w:val="20"/>
          <w:szCs w:val="20"/>
        </w:rPr>
      </w:pPr>
      <w:r w:rsidRPr="00BB4D81">
        <w:rPr>
          <w:rFonts w:ascii="Segoe UI" w:eastAsia="Calibri" w:hAnsi="Segoe UI" w:cs="Segoe UI"/>
          <w:sz w:val="20"/>
          <w:szCs w:val="20"/>
        </w:rPr>
        <w:t xml:space="preserve">Table </w:t>
      </w:r>
      <w:r w:rsidR="00EB4F53">
        <w:rPr>
          <w:rFonts w:ascii="Segoe UI" w:eastAsia="Calibri" w:hAnsi="Segoe UI" w:cs="Segoe UI"/>
          <w:sz w:val="20"/>
          <w:szCs w:val="20"/>
        </w:rPr>
        <w:t>12</w:t>
      </w:r>
      <w:r w:rsidRPr="00BB4D81">
        <w:rPr>
          <w:rFonts w:ascii="Segoe UI" w:eastAsia="Calibri" w:hAnsi="Segoe UI" w:cs="Segoe UI"/>
          <w:sz w:val="20"/>
          <w:szCs w:val="20"/>
        </w:rPr>
        <w:t xml:space="preserve">: Survey response – scope of authorisations </w:t>
      </w:r>
    </w:p>
    <w:p w14:paraId="0DE54222" w14:textId="697F18AD" w:rsidR="00B560AD" w:rsidRPr="00BB4D81" w:rsidRDefault="00B560AD" w:rsidP="00B560AD">
      <w:pPr>
        <w:jc w:val="both"/>
        <w:rPr>
          <w:rFonts w:ascii="Segoe UI" w:eastAsia="Calibri" w:hAnsi="Segoe UI" w:cs="Segoe UI"/>
          <w:sz w:val="20"/>
          <w:szCs w:val="20"/>
        </w:rPr>
      </w:pPr>
      <w:r w:rsidRPr="00BB4D81">
        <w:rPr>
          <w:rFonts w:ascii="Segoe UI" w:eastAsia="Calibri" w:hAnsi="Segoe UI" w:cs="Segoe UI"/>
          <w:sz w:val="20"/>
          <w:szCs w:val="20"/>
        </w:rPr>
        <w:t xml:space="preserve">As indicated above, 96% </w:t>
      </w:r>
      <w:r w:rsidR="007E0557">
        <w:rPr>
          <w:rFonts w:ascii="Segoe UI" w:eastAsia="Calibri" w:hAnsi="Segoe UI" w:cs="Segoe UI"/>
          <w:sz w:val="20"/>
          <w:szCs w:val="20"/>
        </w:rPr>
        <w:t xml:space="preserve">(23/24) </w:t>
      </w:r>
      <w:r w:rsidRPr="00BB4D81">
        <w:rPr>
          <w:rFonts w:ascii="Segoe UI" w:eastAsia="Calibri" w:hAnsi="Segoe UI" w:cs="Segoe UI"/>
          <w:sz w:val="20"/>
          <w:szCs w:val="20"/>
        </w:rPr>
        <w:t>indicated that activities were included in the scope of their authorisations, with 75%</w:t>
      </w:r>
      <w:r w:rsidR="007E0557">
        <w:rPr>
          <w:rFonts w:ascii="Segoe UI" w:eastAsia="Calibri" w:hAnsi="Segoe UI" w:cs="Segoe UI"/>
          <w:sz w:val="20"/>
          <w:szCs w:val="20"/>
        </w:rPr>
        <w:t xml:space="preserve"> (18/24) </w:t>
      </w:r>
      <w:r w:rsidRPr="00BB4D81">
        <w:rPr>
          <w:rFonts w:ascii="Segoe UI" w:eastAsia="Calibri" w:hAnsi="Segoe UI" w:cs="Segoe UI"/>
          <w:sz w:val="20"/>
          <w:szCs w:val="20"/>
        </w:rPr>
        <w:t xml:space="preserve">indicating that the type of blood / tissue and cell product is included in the scope. Only 37.50% </w:t>
      </w:r>
      <w:r w:rsidR="007E0557">
        <w:rPr>
          <w:rFonts w:ascii="Segoe UI" w:eastAsia="Calibri" w:hAnsi="Segoe UI" w:cs="Segoe UI"/>
          <w:sz w:val="20"/>
          <w:szCs w:val="20"/>
        </w:rPr>
        <w:t xml:space="preserve">(9/24) </w:t>
      </w:r>
      <w:r w:rsidRPr="00BB4D81">
        <w:rPr>
          <w:rFonts w:ascii="Segoe UI" w:eastAsia="Calibri" w:hAnsi="Segoe UI" w:cs="Segoe UI"/>
          <w:sz w:val="20"/>
          <w:szCs w:val="20"/>
        </w:rPr>
        <w:t xml:space="preserve">indicated that the scope included detailed technical descriptions of the process, with 37.50% </w:t>
      </w:r>
      <w:r w:rsidR="007E0557">
        <w:rPr>
          <w:rFonts w:ascii="Segoe UI" w:eastAsia="Calibri" w:hAnsi="Segoe UI" w:cs="Segoe UI"/>
          <w:sz w:val="20"/>
          <w:szCs w:val="20"/>
        </w:rPr>
        <w:t xml:space="preserve">(9/24) </w:t>
      </w:r>
      <w:r w:rsidRPr="00BB4D81">
        <w:rPr>
          <w:rFonts w:ascii="Segoe UI" w:eastAsia="Calibri" w:hAnsi="Segoe UI" w:cs="Segoe UI"/>
          <w:sz w:val="20"/>
          <w:szCs w:val="20"/>
        </w:rPr>
        <w:t>indicating that they include clinical indication for use.</w:t>
      </w:r>
    </w:p>
    <w:p w14:paraId="7B669FDE" w14:textId="0CDEE3BE" w:rsidR="00B560AD" w:rsidRPr="00BB4D81" w:rsidRDefault="00B560AD" w:rsidP="00B560AD">
      <w:pPr>
        <w:jc w:val="both"/>
        <w:rPr>
          <w:rFonts w:ascii="Segoe UI" w:eastAsia="Calibri" w:hAnsi="Segoe UI" w:cs="Segoe UI"/>
          <w:sz w:val="20"/>
          <w:szCs w:val="20"/>
        </w:rPr>
      </w:pPr>
      <w:r w:rsidRPr="00BB4D81">
        <w:rPr>
          <w:rFonts w:ascii="Segoe UI" w:eastAsia="Calibri" w:hAnsi="Segoe UI" w:cs="Segoe UI"/>
          <w:sz w:val="20"/>
          <w:szCs w:val="20"/>
        </w:rPr>
        <w:t xml:space="preserve">The survey also indicated that 58% </w:t>
      </w:r>
      <w:r w:rsidR="0020239B" w:rsidRPr="00BB4D81">
        <w:rPr>
          <w:rFonts w:ascii="Segoe UI" w:eastAsia="Calibri" w:hAnsi="Segoe UI" w:cs="Segoe UI"/>
          <w:sz w:val="20"/>
          <w:szCs w:val="20"/>
        </w:rPr>
        <w:t xml:space="preserve">(11/19) </w:t>
      </w:r>
      <w:r w:rsidRPr="00BB4D81">
        <w:rPr>
          <w:rFonts w:ascii="Segoe UI" w:eastAsia="Calibri" w:hAnsi="Segoe UI" w:cs="Segoe UI"/>
          <w:sz w:val="20"/>
          <w:szCs w:val="20"/>
        </w:rPr>
        <w:t>of CAs that include blood / tissue and cell type on their authorisation, align their products, where applicable, with the EDQM monographs for blood and blood components and the European Tissues and Cells Compendium.</w:t>
      </w:r>
    </w:p>
    <w:p w14:paraId="5DD3B747" w14:textId="4011C55C" w:rsidR="0020239B" w:rsidRPr="00BB4D81" w:rsidRDefault="0020239B" w:rsidP="00B560AD">
      <w:pPr>
        <w:jc w:val="both"/>
        <w:rPr>
          <w:rFonts w:ascii="Segoe UI" w:eastAsia="Calibri" w:hAnsi="Segoe UI" w:cs="Segoe UI"/>
          <w:sz w:val="20"/>
          <w:szCs w:val="20"/>
        </w:rPr>
      </w:pPr>
      <w:r w:rsidRPr="00BB4D81">
        <w:rPr>
          <w:rFonts w:ascii="Segoe UI" w:eastAsia="Calibri" w:hAnsi="Segoe UI" w:cs="Segoe UI"/>
          <w:sz w:val="20"/>
          <w:szCs w:val="20"/>
        </w:rPr>
        <w:t>The survey indicated that 92% (22/24) defined the scope of their blood / tissue establishment within legislation, and 8% (2/24) in national guidance.</w:t>
      </w:r>
    </w:p>
    <w:p w14:paraId="04CD238E" w14:textId="550F3152" w:rsidR="0020239B" w:rsidRPr="00BB4D81" w:rsidRDefault="0020239B" w:rsidP="00B560AD">
      <w:pPr>
        <w:jc w:val="both"/>
        <w:rPr>
          <w:rFonts w:ascii="Segoe UI" w:eastAsia="Calibri" w:hAnsi="Segoe UI" w:cs="Segoe UI"/>
          <w:sz w:val="20"/>
          <w:szCs w:val="20"/>
        </w:rPr>
      </w:pPr>
      <w:r w:rsidRPr="00BB4D81">
        <w:rPr>
          <w:rFonts w:ascii="Segoe UI" w:eastAsia="Calibri" w:hAnsi="Segoe UI" w:cs="Segoe UI"/>
          <w:sz w:val="20"/>
          <w:szCs w:val="20"/>
        </w:rPr>
        <w:t xml:space="preserve">50% (12/24) grant full authorisations, 67% (16/24) grant temporary authorisations, 42% (10/24) grant conditional authorisations, and 13% (3/24) granted other </w:t>
      </w:r>
      <w:r w:rsidR="005647FB" w:rsidRPr="00BB4D81">
        <w:rPr>
          <w:rFonts w:ascii="Segoe UI" w:eastAsia="Calibri" w:hAnsi="Segoe UI" w:cs="Segoe UI"/>
          <w:sz w:val="20"/>
          <w:szCs w:val="20"/>
        </w:rPr>
        <w:t>authorisations, which</w:t>
      </w:r>
      <w:r w:rsidRPr="00BB4D81">
        <w:rPr>
          <w:rFonts w:ascii="Segoe UI" w:eastAsia="Calibri" w:hAnsi="Segoe UI" w:cs="Segoe UI"/>
          <w:sz w:val="20"/>
          <w:szCs w:val="20"/>
        </w:rPr>
        <w:t xml:space="preserve"> were described as follows:</w:t>
      </w:r>
    </w:p>
    <w:p w14:paraId="7F216070" w14:textId="7B9CAB30" w:rsidR="0020239B" w:rsidRPr="00BB4D81" w:rsidRDefault="00667981" w:rsidP="00A01F03">
      <w:pPr>
        <w:pStyle w:val="ListParagraph"/>
        <w:numPr>
          <w:ilvl w:val="0"/>
          <w:numId w:val="26"/>
        </w:numPr>
        <w:jc w:val="both"/>
        <w:rPr>
          <w:rFonts w:ascii="Segoe UI" w:eastAsia="Calibri" w:hAnsi="Segoe UI" w:cs="Segoe UI"/>
          <w:sz w:val="20"/>
          <w:szCs w:val="20"/>
        </w:rPr>
      </w:pPr>
      <w:r>
        <w:rPr>
          <w:rFonts w:ascii="Segoe UI" w:eastAsia="Calibri" w:hAnsi="Segoe UI" w:cs="Segoe UI"/>
          <w:sz w:val="20"/>
          <w:szCs w:val="20"/>
        </w:rPr>
        <w:t>‘</w:t>
      </w:r>
      <w:r w:rsidR="0020239B" w:rsidRPr="00BB4D81">
        <w:rPr>
          <w:rFonts w:ascii="Segoe UI" w:eastAsia="Calibri" w:hAnsi="Segoe UI" w:cs="Segoe UI"/>
          <w:sz w:val="20"/>
          <w:szCs w:val="20"/>
        </w:rPr>
        <w:t>Exemption licence (for importing tissues / cells from EU / ETA countries, not fulfilling as safety and quality requirements</w:t>
      </w:r>
    </w:p>
    <w:p w14:paraId="2CD282B4" w14:textId="135BCBB3" w:rsidR="0020239B" w:rsidRPr="00BB4D81" w:rsidRDefault="005B76C9" w:rsidP="00A01F03">
      <w:pPr>
        <w:pStyle w:val="ListParagraph"/>
        <w:numPr>
          <w:ilvl w:val="0"/>
          <w:numId w:val="26"/>
        </w:numPr>
        <w:jc w:val="both"/>
        <w:rPr>
          <w:rFonts w:ascii="Segoe UI" w:eastAsia="Calibri" w:hAnsi="Segoe UI" w:cs="Segoe UI"/>
          <w:sz w:val="20"/>
          <w:szCs w:val="20"/>
        </w:rPr>
      </w:pPr>
      <w:r w:rsidRPr="00BB4D81">
        <w:rPr>
          <w:rFonts w:ascii="Segoe UI" w:eastAsia="Calibri" w:hAnsi="Segoe UI" w:cs="Segoe UI"/>
          <w:sz w:val="20"/>
          <w:szCs w:val="20"/>
        </w:rPr>
        <w:t xml:space="preserve">3 other authorisation regimes defined in law </w:t>
      </w:r>
      <w:r w:rsidR="0020239B" w:rsidRPr="00BB4D81">
        <w:rPr>
          <w:rFonts w:ascii="Segoe UI" w:eastAsia="Calibri" w:hAnsi="Segoe UI" w:cs="Segoe UI"/>
          <w:sz w:val="20"/>
          <w:szCs w:val="20"/>
        </w:rPr>
        <w:t>1) Authorisations for MAR TEs to perform new MAR activities - given for 7 years - withdrawal if initial conditions have changed (e.g. departure of one practitioner, in case of evident fraud attempts)</w:t>
      </w:r>
      <w:r w:rsidRPr="00BB4D81">
        <w:rPr>
          <w:rFonts w:ascii="Segoe UI" w:eastAsia="Calibri" w:hAnsi="Segoe UI" w:cs="Segoe UI"/>
          <w:sz w:val="20"/>
          <w:szCs w:val="20"/>
        </w:rPr>
        <w:t xml:space="preserve">; </w:t>
      </w:r>
      <w:r w:rsidR="0020239B" w:rsidRPr="00BB4D81">
        <w:rPr>
          <w:rFonts w:ascii="Segoe UI" w:eastAsia="Calibri" w:hAnsi="Segoe UI" w:cs="Segoe UI"/>
          <w:sz w:val="20"/>
          <w:szCs w:val="20"/>
        </w:rPr>
        <w:t xml:space="preserve">2) Authorisations of new MAR biological </w:t>
      </w:r>
      <w:r w:rsidRPr="00BB4D81">
        <w:rPr>
          <w:rFonts w:ascii="Segoe UI" w:eastAsia="Calibri" w:hAnsi="Segoe UI" w:cs="Segoe UI"/>
          <w:sz w:val="20"/>
          <w:szCs w:val="20"/>
        </w:rPr>
        <w:t>3)</w:t>
      </w:r>
      <w:r w:rsidR="0020239B" w:rsidRPr="00BB4D81">
        <w:rPr>
          <w:rFonts w:ascii="Segoe UI" w:eastAsia="Calibri" w:hAnsi="Segoe UI" w:cs="Segoe UI"/>
          <w:sz w:val="20"/>
          <w:szCs w:val="20"/>
        </w:rPr>
        <w:t xml:space="preserve"> Authorisations of new techniques are listed and updated in </w:t>
      </w:r>
      <w:r w:rsidRPr="00BB4D81">
        <w:rPr>
          <w:rFonts w:ascii="Segoe UI" w:eastAsia="Calibri" w:hAnsi="Segoe UI" w:cs="Segoe UI"/>
          <w:sz w:val="20"/>
          <w:szCs w:val="20"/>
        </w:rPr>
        <w:t>a</w:t>
      </w:r>
      <w:r w:rsidR="0020239B" w:rsidRPr="00BB4D81">
        <w:rPr>
          <w:rFonts w:ascii="Segoe UI" w:eastAsia="Calibri" w:hAnsi="Segoe UI" w:cs="Segoe UI"/>
          <w:sz w:val="20"/>
          <w:szCs w:val="20"/>
        </w:rPr>
        <w:t xml:space="preserve"> document. Authorised if the</w:t>
      </w:r>
      <w:r w:rsidR="00667981">
        <w:rPr>
          <w:rFonts w:ascii="Segoe UI" w:eastAsia="Calibri" w:hAnsi="Segoe UI" w:cs="Segoe UI"/>
          <w:sz w:val="20"/>
          <w:szCs w:val="20"/>
        </w:rPr>
        <w:t>y</w:t>
      </w:r>
      <w:r w:rsidR="0020239B" w:rsidRPr="00BB4D81">
        <w:rPr>
          <w:rFonts w:ascii="Segoe UI" w:eastAsia="Calibri" w:hAnsi="Segoe UI" w:cs="Segoe UI"/>
          <w:sz w:val="20"/>
          <w:szCs w:val="20"/>
        </w:rPr>
        <w:t xml:space="preserve"> improve efficiency, reproducibility and security of a biological process, no expiration date for the authorisation</w:t>
      </w:r>
      <w:r w:rsidRPr="00BB4D81">
        <w:rPr>
          <w:rFonts w:ascii="Segoe UI" w:eastAsia="Calibri" w:hAnsi="Segoe UI" w:cs="Segoe UI"/>
          <w:sz w:val="20"/>
          <w:szCs w:val="20"/>
        </w:rPr>
        <w:t>,</w:t>
      </w:r>
      <w:r w:rsidR="0020239B" w:rsidRPr="00BB4D81">
        <w:rPr>
          <w:rFonts w:ascii="Segoe UI" w:eastAsia="Calibri" w:hAnsi="Segoe UI" w:cs="Segoe UI"/>
          <w:sz w:val="20"/>
          <w:szCs w:val="20"/>
        </w:rPr>
        <w:t xml:space="preserve"> can be applied by all centres if they wish so authorisation is withdrawn if the annual monitoring summarised in the annual report is assessed as dangerous or inefficient</w:t>
      </w:r>
    </w:p>
    <w:p w14:paraId="34207B98" w14:textId="4D1116B0" w:rsidR="005B76C9" w:rsidRPr="00BB4D81" w:rsidRDefault="005B76C9" w:rsidP="00A01F03">
      <w:pPr>
        <w:pStyle w:val="ListParagraph"/>
        <w:numPr>
          <w:ilvl w:val="0"/>
          <w:numId w:val="26"/>
        </w:numPr>
        <w:jc w:val="both"/>
        <w:rPr>
          <w:rFonts w:ascii="Segoe UI" w:eastAsia="Calibri" w:hAnsi="Segoe UI" w:cs="Segoe UI"/>
          <w:sz w:val="20"/>
          <w:szCs w:val="20"/>
        </w:rPr>
      </w:pPr>
      <w:r w:rsidRPr="00BB4D81">
        <w:rPr>
          <w:rFonts w:ascii="Segoe UI" w:eastAsia="Calibri" w:hAnsi="Segoe UI" w:cs="Segoe UI"/>
          <w:sz w:val="20"/>
          <w:szCs w:val="20"/>
        </w:rPr>
        <w:t xml:space="preserve">Authorisation is normally without expiration, but we have Compliance Certificates (like GMP certificates) which are </w:t>
      </w:r>
      <w:r w:rsidR="005647FB" w:rsidRPr="00BB4D81">
        <w:rPr>
          <w:rFonts w:ascii="Segoe UI" w:eastAsia="Calibri" w:hAnsi="Segoe UI" w:cs="Segoe UI"/>
          <w:sz w:val="20"/>
          <w:szCs w:val="20"/>
        </w:rPr>
        <w:t>only</w:t>
      </w:r>
      <w:r w:rsidRPr="00BB4D81">
        <w:rPr>
          <w:rFonts w:ascii="Segoe UI" w:eastAsia="Calibri" w:hAnsi="Segoe UI" w:cs="Segoe UI"/>
          <w:sz w:val="20"/>
          <w:szCs w:val="20"/>
        </w:rPr>
        <w:t xml:space="preserve"> valid for 2 years</w:t>
      </w:r>
      <w:r w:rsidR="00667981">
        <w:rPr>
          <w:rFonts w:ascii="Segoe UI" w:eastAsia="Calibri" w:hAnsi="Segoe UI" w:cs="Segoe UI"/>
          <w:sz w:val="20"/>
          <w:szCs w:val="20"/>
        </w:rPr>
        <w:t>’</w:t>
      </w:r>
    </w:p>
    <w:p w14:paraId="62E47BFE" w14:textId="3BF5BD0C" w:rsidR="005B76C9" w:rsidRPr="00BB4D81" w:rsidRDefault="005B76C9" w:rsidP="005B76C9">
      <w:pPr>
        <w:jc w:val="both"/>
        <w:rPr>
          <w:rFonts w:ascii="Segoe UI" w:eastAsia="Calibri" w:hAnsi="Segoe UI" w:cs="Segoe UI"/>
          <w:sz w:val="20"/>
          <w:szCs w:val="20"/>
        </w:rPr>
      </w:pPr>
      <w:r w:rsidRPr="00BB4D81">
        <w:rPr>
          <w:rFonts w:ascii="Segoe UI" w:eastAsia="Calibri" w:hAnsi="Segoe UI" w:cs="Segoe UI"/>
          <w:sz w:val="20"/>
          <w:szCs w:val="20"/>
        </w:rPr>
        <w:t>It was indicated that the types of authorisations were defined in legislation in 79% (19/24) of CAs, and in national guidance in 8% (2/24) of CAs and in internal organisational policies in 8% (2/24) of CAs and it was not defined in 8% (2/24) of CAs.</w:t>
      </w:r>
    </w:p>
    <w:p w14:paraId="2B100AC6" w14:textId="5E8611B0" w:rsidR="00B560AD" w:rsidRPr="001E503A" w:rsidRDefault="00B560AD" w:rsidP="00B560AD">
      <w:pPr>
        <w:jc w:val="both"/>
        <w:rPr>
          <w:rFonts w:ascii="Segoe UI" w:eastAsia="Calibri" w:hAnsi="Segoe UI" w:cs="Segoe UI"/>
          <w:sz w:val="20"/>
          <w:szCs w:val="20"/>
        </w:rPr>
      </w:pPr>
    </w:p>
    <w:p w14:paraId="099C911B" w14:textId="49546F0C" w:rsidR="00881C14" w:rsidRPr="007857CF" w:rsidRDefault="00881C14" w:rsidP="00881C14">
      <w:pPr>
        <w:jc w:val="both"/>
        <w:rPr>
          <w:rFonts w:ascii="Segoe UI" w:eastAsia="Calibri" w:hAnsi="Segoe UI" w:cs="Segoe UI"/>
          <w:b/>
          <w:sz w:val="20"/>
          <w:szCs w:val="20"/>
        </w:rPr>
      </w:pPr>
      <w:r w:rsidRPr="007857CF">
        <w:rPr>
          <w:rFonts w:ascii="Segoe UI" w:eastAsia="Calibri" w:hAnsi="Segoe UI" w:cs="Segoe UI"/>
          <w:b/>
          <w:sz w:val="20"/>
          <w:szCs w:val="20"/>
        </w:rPr>
        <w:t>Authorisation – Desk-Base Review</w:t>
      </w:r>
    </w:p>
    <w:p w14:paraId="5BB1CA90" w14:textId="57ADC03B" w:rsidR="00881C14" w:rsidRPr="007857CF" w:rsidRDefault="001E503A" w:rsidP="00B560AD">
      <w:pPr>
        <w:jc w:val="both"/>
        <w:rPr>
          <w:rFonts w:ascii="Segoe UI" w:eastAsia="Calibri" w:hAnsi="Segoe UI" w:cs="Segoe UI"/>
          <w:sz w:val="20"/>
          <w:szCs w:val="20"/>
        </w:rPr>
      </w:pPr>
      <w:r w:rsidRPr="007857CF">
        <w:rPr>
          <w:rFonts w:ascii="Segoe UI" w:eastAsia="Calibri" w:hAnsi="Segoe UI" w:cs="Segoe UI"/>
          <w:b/>
          <w:sz w:val="20"/>
          <w:szCs w:val="20"/>
        </w:rPr>
        <w:t>ANSM</w:t>
      </w:r>
    </w:p>
    <w:p w14:paraId="70B933C5" w14:textId="328FAE64" w:rsidR="00881C14" w:rsidRPr="007857CF" w:rsidRDefault="00881C14" w:rsidP="00B560AD">
      <w:pPr>
        <w:jc w:val="both"/>
        <w:rPr>
          <w:rFonts w:ascii="Segoe UI" w:eastAsia="Calibri" w:hAnsi="Segoe UI" w:cs="Segoe UI"/>
          <w:sz w:val="20"/>
          <w:szCs w:val="20"/>
        </w:rPr>
      </w:pPr>
      <w:r w:rsidRPr="007857CF">
        <w:rPr>
          <w:rFonts w:ascii="Segoe UI" w:eastAsia="Calibri" w:hAnsi="Segoe UI" w:cs="Segoe UI"/>
          <w:sz w:val="20"/>
          <w:szCs w:val="20"/>
        </w:rPr>
        <w:t>After the group of experts has given the final approval of the new blood product or the modification of an existing one, it is notified to the applicant.</w:t>
      </w:r>
    </w:p>
    <w:p w14:paraId="2A068FAA" w14:textId="58C22687" w:rsidR="00881C14" w:rsidRPr="007857CF" w:rsidRDefault="00881C14" w:rsidP="00B560AD">
      <w:pPr>
        <w:jc w:val="both"/>
        <w:rPr>
          <w:rFonts w:ascii="Segoe UI" w:eastAsia="Calibri" w:hAnsi="Segoe UI" w:cs="Segoe UI"/>
          <w:b/>
          <w:sz w:val="20"/>
          <w:szCs w:val="20"/>
        </w:rPr>
      </w:pPr>
      <w:r w:rsidRPr="007857CF">
        <w:rPr>
          <w:rFonts w:ascii="Segoe UI" w:eastAsia="Calibri" w:hAnsi="Segoe UI" w:cs="Segoe UI"/>
          <w:b/>
          <w:sz w:val="20"/>
          <w:szCs w:val="20"/>
        </w:rPr>
        <w:t>JPAC</w:t>
      </w:r>
    </w:p>
    <w:p w14:paraId="02ADF10E" w14:textId="14F66D29" w:rsidR="00881C14" w:rsidRPr="007857CF" w:rsidRDefault="00881C14" w:rsidP="00B560AD">
      <w:pPr>
        <w:jc w:val="both"/>
        <w:rPr>
          <w:rFonts w:ascii="Segoe UI" w:eastAsia="Calibri" w:hAnsi="Segoe UI" w:cs="Segoe UI"/>
          <w:sz w:val="20"/>
          <w:szCs w:val="20"/>
        </w:rPr>
      </w:pPr>
      <w:r w:rsidRPr="007857CF">
        <w:rPr>
          <w:rFonts w:ascii="Segoe UI" w:eastAsia="Calibri" w:hAnsi="Segoe UI" w:cs="Segoe UI"/>
          <w:sz w:val="20"/>
          <w:szCs w:val="20"/>
        </w:rPr>
        <w:t>It the new product is accepted, the investigators are informed and the Standing Advisory Committee on Information Technology (SACIT) is requested to proceed with the provision of appropriate labels.</w:t>
      </w:r>
    </w:p>
    <w:p w14:paraId="4CC681A1" w14:textId="2B936A23" w:rsidR="00881C14" w:rsidRPr="007857CF" w:rsidRDefault="00881C14" w:rsidP="00B560AD">
      <w:pPr>
        <w:jc w:val="both"/>
        <w:rPr>
          <w:rFonts w:ascii="Segoe UI" w:eastAsia="Calibri" w:hAnsi="Segoe UI" w:cs="Segoe UI"/>
          <w:sz w:val="20"/>
          <w:szCs w:val="20"/>
        </w:rPr>
      </w:pPr>
      <w:r w:rsidRPr="007857CF">
        <w:rPr>
          <w:rFonts w:ascii="Segoe UI" w:eastAsia="Calibri" w:hAnsi="Segoe UI" w:cs="Segoe UI"/>
          <w:sz w:val="20"/>
          <w:szCs w:val="20"/>
        </w:rPr>
        <w:t>They inform all the UK Blood Transfusion Services, and they provide copies of the data and report used to accept the new blood component. If the request is rejected a report with all the supporting reasons is submitted.</w:t>
      </w:r>
    </w:p>
    <w:p w14:paraId="4D21F025" w14:textId="77777777" w:rsidR="00881C14" w:rsidRDefault="00881C14" w:rsidP="00B560AD">
      <w:pPr>
        <w:jc w:val="both"/>
        <w:rPr>
          <w:rFonts w:ascii="Segoe UI" w:eastAsia="Calibri" w:hAnsi="Segoe UI" w:cs="Segoe UI"/>
          <w:sz w:val="20"/>
          <w:szCs w:val="20"/>
        </w:rPr>
      </w:pPr>
    </w:p>
    <w:p w14:paraId="58617F94" w14:textId="1ADEEE1A" w:rsidR="00267A88" w:rsidRPr="007857CF" w:rsidRDefault="00267A88" w:rsidP="00B560AD">
      <w:pPr>
        <w:jc w:val="both"/>
        <w:rPr>
          <w:rFonts w:ascii="Segoe UI" w:eastAsia="Calibri" w:hAnsi="Segoe UI" w:cs="Segoe UI"/>
          <w:b/>
          <w:sz w:val="20"/>
          <w:szCs w:val="20"/>
        </w:rPr>
      </w:pPr>
      <w:r w:rsidRPr="007857CF">
        <w:rPr>
          <w:rFonts w:ascii="Segoe UI" w:eastAsia="Calibri" w:hAnsi="Segoe UI" w:cs="Segoe UI"/>
          <w:b/>
          <w:sz w:val="20"/>
          <w:szCs w:val="20"/>
        </w:rPr>
        <w:t>Authorisation – Output from Previous European Projects</w:t>
      </w:r>
    </w:p>
    <w:p w14:paraId="217A22FA" w14:textId="77777777" w:rsidR="00B560AD" w:rsidRPr="007857CF" w:rsidRDefault="00B560AD" w:rsidP="00B560AD">
      <w:pPr>
        <w:jc w:val="both"/>
        <w:rPr>
          <w:rFonts w:ascii="Segoe UI" w:eastAsia="Calibri" w:hAnsi="Segoe UI" w:cs="Segoe UI"/>
          <w:b/>
          <w:sz w:val="20"/>
          <w:szCs w:val="20"/>
        </w:rPr>
      </w:pPr>
      <w:r w:rsidRPr="007857CF">
        <w:rPr>
          <w:rFonts w:ascii="Segoe UI" w:eastAsia="Calibri" w:hAnsi="Segoe UI" w:cs="Segoe UI"/>
          <w:b/>
          <w:sz w:val="20"/>
          <w:szCs w:val="20"/>
        </w:rPr>
        <w:t>WP5 B PRINCIPLE #3</w:t>
      </w:r>
    </w:p>
    <w:p w14:paraId="417ABE8C" w14:textId="69C015D9" w:rsidR="00B560AD" w:rsidRPr="00BB4D81" w:rsidRDefault="00B560AD" w:rsidP="00B560AD">
      <w:pPr>
        <w:jc w:val="both"/>
        <w:rPr>
          <w:rFonts w:ascii="Segoe UI" w:eastAsia="Calibri" w:hAnsi="Segoe UI" w:cs="Segoe UI"/>
          <w:sz w:val="20"/>
          <w:szCs w:val="20"/>
        </w:rPr>
      </w:pPr>
      <w:r w:rsidRPr="00BB4D81">
        <w:rPr>
          <w:rFonts w:ascii="Segoe UI" w:eastAsia="Calibri" w:hAnsi="Segoe UI" w:cs="Segoe UI"/>
          <w:sz w:val="20"/>
          <w:szCs w:val="20"/>
        </w:rPr>
        <w:t>If the expected benefit outbalances the expected risk, a conditional authori</w:t>
      </w:r>
      <w:r w:rsidR="001B2B5B" w:rsidRPr="00BB4D81">
        <w:rPr>
          <w:rFonts w:ascii="Segoe UI" w:eastAsia="Calibri" w:hAnsi="Segoe UI" w:cs="Segoe UI"/>
          <w:sz w:val="20"/>
          <w:szCs w:val="20"/>
        </w:rPr>
        <w:t>s</w:t>
      </w:r>
      <w:r w:rsidRPr="00BB4D81">
        <w:rPr>
          <w:rFonts w:ascii="Segoe UI" w:eastAsia="Calibri" w:hAnsi="Segoe UI" w:cs="Segoe UI"/>
          <w:sz w:val="20"/>
          <w:szCs w:val="20"/>
        </w:rPr>
        <w:t xml:space="preserve">ation for the PP/product may be released. </w:t>
      </w:r>
      <w:r w:rsidR="00B06281">
        <w:rPr>
          <w:rFonts w:ascii="Segoe UI" w:eastAsia="Calibri" w:hAnsi="Segoe UI" w:cs="Segoe UI"/>
          <w:sz w:val="20"/>
          <w:szCs w:val="20"/>
        </w:rPr>
        <w:t>Conditional authoris</w:t>
      </w:r>
      <w:r w:rsidRPr="00BB4D81">
        <w:rPr>
          <w:rFonts w:ascii="Segoe UI" w:eastAsia="Calibri" w:hAnsi="Segoe UI" w:cs="Segoe UI"/>
          <w:sz w:val="20"/>
          <w:szCs w:val="20"/>
        </w:rPr>
        <w:t xml:space="preserve">ation may be based on an adequate </w:t>
      </w:r>
      <w:r w:rsidR="00DA72DB">
        <w:rPr>
          <w:rFonts w:ascii="Segoe UI" w:eastAsia="Calibri" w:hAnsi="Segoe UI" w:cs="Segoe UI"/>
          <w:sz w:val="20"/>
          <w:szCs w:val="20"/>
        </w:rPr>
        <w:t>clinical follow up (</w:t>
      </w:r>
      <w:r w:rsidRPr="00BB4D81">
        <w:rPr>
          <w:rFonts w:ascii="Segoe UI" w:eastAsia="Calibri" w:hAnsi="Segoe UI" w:cs="Segoe UI"/>
          <w:sz w:val="20"/>
          <w:szCs w:val="20"/>
        </w:rPr>
        <w:t>CFUp</w:t>
      </w:r>
      <w:r w:rsidR="00DA72DB">
        <w:rPr>
          <w:rFonts w:ascii="Segoe UI" w:eastAsia="Calibri" w:hAnsi="Segoe UI" w:cs="Segoe UI"/>
          <w:sz w:val="20"/>
          <w:szCs w:val="20"/>
        </w:rPr>
        <w:t>)</w:t>
      </w:r>
      <w:r w:rsidRPr="00BB4D81">
        <w:rPr>
          <w:rFonts w:ascii="Segoe UI" w:eastAsia="Calibri" w:hAnsi="Segoe UI" w:cs="Segoe UI"/>
          <w:sz w:val="20"/>
          <w:szCs w:val="20"/>
        </w:rPr>
        <w:t xml:space="preserve"> study plan, approved by the Competent Authority</w:t>
      </w:r>
    </w:p>
    <w:p w14:paraId="45F931EA" w14:textId="3FB47E4F" w:rsidR="00B560AD" w:rsidRPr="00BB4D81" w:rsidRDefault="00B560AD" w:rsidP="00B560AD">
      <w:pPr>
        <w:jc w:val="both"/>
        <w:rPr>
          <w:rFonts w:ascii="Segoe UI" w:eastAsia="Calibri" w:hAnsi="Segoe UI" w:cs="Segoe UI"/>
          <w:sz w:val="20"/>
          <w:szCs w:val="20"/>
        </w:rPr>
      </w:pPr>
      <w:r w:rsidRPr="00BB4D81">
        <w:rPr>
          <w:rFonts w:ascii="Segoe UI" w:eastAsia="Calibri" w:hAnsi="Segoe UI" w:cs="Segoe UI"/>
          <w:sz w:val="20"/>
          <w:szCs w:val="20"/>
        </w:rPr>
        <w:t>WP5B indicates that, taken together, if there is sufficient indication that a BTC prepared with novel PP or a novel BTC product can have a high therapeutic value</w:t>
      </w:r>
      <w:r w:rsidR="00B06281">
        <w:rPr>
          <w:rFonts w:ascii="Segoe UI" w:eastAsia="Calibri" w:hAnsi="Segoe UI" w:cs="Segoe UI"/>
          <w:sz w:val="20"/>
          <w:szCs w:val="20"/>
        </w:rPr>
        <w:t xml:space="preserve"> (table </w:t>
      </w:r>
      <w:r w:rsidR="00EB4F53">
        <w:rPr>
          <w:rFonts w:ascii="Segoe UI" w:eastAsia="Calibri" w:hAnsi="Segoe UI" w:cs="Segoe UI"/>
          <w:sz w:val="20"/>
          <w:szCs w:val="20"/>
        </w:rPr>
        <w:t>10</w:t>
      </w:r>
      <w:r w:rsidR="00B06281">
        <w:rPr>
          <w:rFonts w:ascii="Segoe UI" w:eastAsia="Calibri" w:hAnsi="Segoe UI" w:cs="Segoe UI"/>
          <w:sz w:val="20"/>
          <w:szCs w:val="20"/>
        </w:rPr>
        <w:t>)</w:t>
      </w:r>
      <w:r w:rsidRPr="00BB4D81">
        <w:rPr>
          <w:rFonts w:ascii="Segoe UI" w:eastAsia="Calibri" w:hAnsi="Segoe UI" w:cs="Segoe UI"/>
          <w:sz w:val="20"/>
          <w:szCs w:val="20"/>
        </w:rPr>
        <w:t>, and that, therefore, it is in the public interest to have the BTC product introduced into therapy, even though further important details are still required to facilitate a comprehensive assessment of the BTC product, a specific mechanism has to be defined that allows for balancing regulatory requirements with the need of timely access of patients to novel BTC therapies.</w:t>
      </w:r>
    </w:p>
    <w:p w14:paraId="03FCB860" w14:textId="5BBFA567" w:rsidR="00B560AD" w:rsidRPr="00BB4D81" w:rsidRDefault="004F4FE7" w:rsidP="00A01F03">
      <w:pPr>
        <w:numPr>
          <w:ilvl w:val="0"/>
          <w:numId w:val="36"/>
        </w:numPr>
        <w:spacing w:line="259" w:lineRule="auto"/>
        <w:jc w:val="both"/>
        <w:rPr>
          <w:rFonts w:ascii="Segoe UI" w:eastAsia="Calibri" w:hAnsi="Segoe UI" w:cs="Segoe UI"/>
          <w:sz w:val="20"/>
          <w:szCs w:val="20"/>
        </w:rPr>
      </w:pPr>
      <w:r>
        <w:rPr>
          <w:rFonts w:ascii="Segoe UI" w:eastAsia="Calibri" w:hAnsi="Segoe UI" w:cs="Segoe UI"/>
          <w:sz w:val="20"/>
          <w:szCs w:val="20"/>
        </w:rPr>
        <w:t>U</w:t>
      </w:r>
      <w:r w:rsidR="00B560AD" w:rsidRPr="00BB4D81">
        <w:rPr>
          <w:rFonts w:ascii="Segoe UI" w:eastAsia="Calibri" w:hAnsi="Segoe UI" w:cs="Segoe UI"/>
          <w:sz w:val="20"/>
          <w:szCs w:val="20"/>
        </w:rPr>
        <w:t xml:space="preserve">nder the above mentioned </w:t>
      </w:r>
      <w:r w:rsidR="00367D3B" w:rsidRPr="00BB4D81">
        <w:rPr>
          <w:rFonts w:ascii="Segoe UI" w:eastAsia="Calibri" w:hAnsi="Segoe UI" w:cs="Segoe UI"/>
          <w:sz w:val="20"/>
          <w:szCs w:val="20"/>
        </w:rPr>
        <w:t>circumstances,</w:t>
      </w:r>
      <w:r w:rsidR="00B560AD" w:rsidRPr="00BB4D81">
        <w:rPr>
          <w:rFonts w:ascii="Segoe UI" w:eastAsia="Calibri" w:hAnsi="Segoe UI" w:cs="Segoe UI"/>
          <w:sz w:val="20"/>
          <w:szCs w:val="20"/>
        </w:rPr>
        <w:t xml:space="preserve"> the BTC-CA may consider issuing a conditional authori</w:t>
      </w:r>
      <w:r w:rsidR="00064FB3">
        <w:rPr>
          <w:rFonts w:ascii="Segoe UI" w:eastAsia="Calibri" w:hAnsi="Segoe UI" w:cs="Segoe UI"/>
          <w:sz w:val="20"/>
          <w:szCs w:val="20"/>
        </w:rPr>
        <w:t>s</w:t>
      </w:r>
      <w:r w:rsidR="00B560AD" w:rsidRPr="00BB4D81">
        <w:rPr>
          <w:rFonts w:ascii="Segoe UI" w:eastAsia="Calibri" w:hAnsi="Segoe UI" w:cs="Segoe UI"/>
          <w:sz w:val="20"/>
          <w:szCs w:val="20"/>
        </w:rPr>
        <w:t xml:space="preserve">ation of PP/product. </w:t>
      </w:r>
    </w:p>
    <w:p w14:paraId="1139F09A" w14:textId="77777777" w:rsidR="00B560AD" w:rsidRPr="00BB4D81" w:rsidRDefault="00B560AD" w:rsidP="00A01F03">
      <w:pPr>
        <w:numPr>
          <w:ilvl w:val="0"/>
          <w:numId w:val="3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Such conditional approval will have to require that the data lacking to assure a comprehensive assessment of the BTC-PP/product at the time of submission is systematically generated and reported to the BTC-CA. </w:t>
      </w:r>
    </w:p>
    <w:p w14:paraId="76D0007C" w14:textId="77777777" w:rsidR="00B560AD" w:rsidRPr="00BB4D81" w:rsidRDefault="00B560AD" w:rsidP="00A01F03">
      <w:pPr>
        <w:numPr>
          <w:ilvl w:val="0"/>
          <w:numId w:val="3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The BTC-CA shall review these data on a regular basis. </w:t>
      </w:r>
    </w:p>
    <w:p w14:paraId="24AF8C43" w14:textId="77777777" w:rsidR="00B560AD" w:rsidRPr="00BB4D81" w:rsidRDefault="00B560AD" w:rsidP="00A01F03">
      <w:pPr>
        <w:numPr>
          <w:ilvl w:val="0"/>
          <w:numId w:val="36"/>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However, the decision of the CA to release a full approval, conditional approval or rejection of the application for a BTC prepared with novel PP/product has also to take into account the benefit of the product for clinical application to patients.</w:t>
      </w:r>
    </w:p>
    <w:p w14:paraId="344A7733" w14:textId="77777777" w:rsidR="0092111D" w:rsidRPr="00BB4D81" w:rsidRDefault="0092111D">
      <w:pPr>
        <w:rPr>
          <w:lang w:eastAsia="en-US"/>
        </w:rPr>
      </w:pPr>
    </w:p>
    <w:p w14:paraId="18FD2821" w14:textId="13E628DC" w:rsidR="00B560AD" w:rsidRPr="007857CF" w:rsidRDefault="00B560AD" w:rsidP="00B560AD">
      <w:pPr>
        <w:pStyle w:val="Heading3"/>
        <w:jc w:val="both"/>
        <w:rPr>
          <w:rFonts w:eastAsia="Times New Roman"/>
          <w:b/>
          <w:lang w:eastAsia="en-US"/>
        </w:rPr>
      </w:pPr>
      <w:bookmarkStart w:id="14" w:name="_Toc48388680"/>
      <w:r w:rsidRPr="007857CF">
        <w:rPr>
          <w:rFonts w:eastAsia="Times New Roman"/>
          <w:b/>
          <w:lang w:eastAsia="en-US"/>
        </w:rPr>
        <w:t>C</w:t>
      </w:r>
      <w:r w:rsidR="008F1340" w:rsidRPr="007857CF">
        <w:rPr>
          <w:rFonts w:eastAsia="Times New Roman"/>
          <w:b/>
          <w:lang w:eastAsia="en-US"/>
        </w:rPr>
        <w:t>onditional Authorisation</w:t>
      </w:r>
      <w:bookmarkEnd w:id="14"/>
    </w:p>
    <w:p w14:paraId="7FBA2CA7" w14:textId="43E46233" w:rsidR="00FB6B15" w:rsidRPr="00BB4D81" w:rsidRDefault="00FB6B15" w:rsidP="00FB6B15">
      <w:pPr>
        <w:rPr>
          <w:lang w:eastAsia="en-US"/>
        </w:rPr>
      </w:pPr>
    </w:p>
    <w:p w14:paraId="7E784C45" w14:textId="5E1B0C85" w:rsidR="008C3227" w:rsidRPr="00BB4D81" w:rsidRDefault="008C3227" w:rsidP="00FB6B15">
      <w:pPr>
        <w:rPr>
          <w:lang w:eastAsia="en-US"/>
        </w:rPr>
      </w:pPr>
      <w:r w:rsidRPr="00BB4D81">
        <w:rPr>
          <w:lang w:eastAsia="en-US"/>
        </w:rPr>
        <w:t xml:space="preserve">As indicated above, the survey results showed that 42% (10/24) of CAs issued conditional authorisations. </w:t>
      </w:r>
      <w:r w:rsidR="006C6C3A" w:rsidRPr="00BB4D81">
        <w:rPr>
          <w:lang w:eastAsia="en-US"/>
        </w:rPr>
        <w:t>67% (16/24) of respondents issued temporary authorisations.</w:t>
      </w:r>
    </w:p>
    <w:p w14:paraId="2B981539" w14:textId="3CE02856" w:rsidR="00FB6B15" w:rsidRPr="007857CF" w:rsidRDefault="00FB6B15" w:rsidP="00FB6B15">
      <w:pPr>
        <w:rPr>
          <w:b/>
          <w:lang w:eastAsia="en-US"/>
        </w:rPr>
      </w:pPr>
      <w:r w:rsidRPr="007857CF">
        <w:rPr>
          <w:b/>
          <w:lang w:eastAsia="en-US"/>
        </w:rPr>
        <w:t>Conditional Authorisation – Desk-Based Review</w:t>
      </w:r>
    </w:p>
    <w:p w14:paraId="6188BB0A" w14:textId="6B656812" w:rsidR="008F1340" w:rsidRPr="00BB4D81" w:rsidRDefault="008F1340" w:rsidP="008F1340">
      <w:pPr>
        <w:rPr>
          <w:rFonts w:ascii="Calibri" w:eastAsia="Calibri" w:hAnsi="Calibri" w:cs="Times New Roman"/>
          <w:bCs/>
        </w:rPr>
      </w:pPr>
      <w:r w:rsidRPr="00BB4D81">
        <w:rPr>
          <w:rFonts w:ascii="Calibri" w:eastAsia="Calibri" w:hAnsi="Calibri" w:cs="Times New Roman"/>
          <w:bCs/>
        </w:rPr>
        <w:t xml:space="preserve">The European Medicines Agency (EMA) supports the development of medicines that address unmet medical needs of patients. In the interest of public health, applicants may be granted a </w:t>
      </w:r>
      <w:hyperlink r:id="rId14" w:tgtFrame="_blank" w:tooltip="The approval of a medicine that address unmet medical needs of patients on the basis of less comprehensive data than normally required. The available data must indicate that the medicine’s benefits outweigh its risks and the applicant should be in a position t" w:history="1">
        <w:r w:rsidRPr="00BB4D81">
          <w:rPr>
            <w:rFonts w:ascii="Calibri" w:eastAsia="Calibri" w:hAnsi="Calibri" w:cs="Times New Roman"/>
            <w:bCs/>
          </w:rPr>
          <w:t>conditional marketing authorisation</w:t>
        </w:r>
      </w:hyperlink>
      <w:r w:rsidRPr="00BB4D81">
        <w:rPr>
          <w:rFonts w:ascii="Calibri" w:eastAsia="Calibri" w:hAnsi="Calibri" w:cs="Times New Roman"/>
          <w:bCs/>
        </w:rPr>
        <w:t xml:space="preserve"> for such medicines where the benefit of immediate availability outweighs the risk of less comprehensive data than normally required, based on the scope and criteria defined in legislation and </w:t>
      </w:r>
      <w:hyperlink r:id="rId15" w:tgtFrame="_blank" w:tooltip="A document providing guidance on the scientific or regulatory aspects of the development of medicines and applications for marketing authorisation. Although guidelines are not legally binding, applicants need to provide justification for any deviations.For mor" w:history="1">
        <w:r w:rsidRPr="00BB4D81">
          <w:rPr>
            <w:rFonts w:ascii="Calibri" w:eastAsia="Calibri" w:hAnsi="Calibri" w:cs="Times New Roman"/>
            <w:bCs/>
          </w:rPr>
          <w:t>guidelines</w:t>
        </w:r>
      </w:hyperlink>
      <w:r w:rsidR="008A7D68">
        <w:rPr>
          <w:rFonts w:ascii="Calibri" w:eastAsia="Calibri" w:hAnsi="Calibri" w:cs="Times New Roman"/>
          <w:bCs/>
          <w:vertAlign w:val="superscript"/>
        </w:rPr>
        <w:t>5</w:t>
      </w:r>
      <w:r w:rsidRPr="00BB4D81">
        <w:rPr>
          <w:rFonts w:ascii="Calibri" w:eastAsia="Calibri" w:hAnsi="Calibri" w:cs="Times New Roman"/>
          <w:bCs/>
        </w:rPr>
        <w:t>.</w:t>
      </w:r>
    </w:p>
    <w:p w14:paraId="557C69BD" w14:textId="77777777" w:rsidR="008F1340" w:rsidRPr="00BB4D81" w:rsidRDefault="008F1340" w:rsidP="008F1340">
      <w:pPr>
        <w:rPr>
          <w:rFonts w:ascii="Calibri" w:eastAsia="Calibri" w:hAnsi="Calibri" w:cs="Times New Roman"/>
        </w:rPr>
      </w:pPr>
      <w:r w:rsidRPr="00BB4D81">
        <w:rPr>
          <w:rFonts w:ascii="Calibri" w:eastAsia="Calibri" w:hAnsi="Calibri" w:cs="Times New Roman"/>
        </w:rPr>
        <w:t>Medicines for human use are eligible if they are</w:t>
      </w:r>
      <w:r w:rsidRPr="00BB4D81">
        <w:rPr>
          <w:rFonts w:ascii="Calibri" w:eastAsia="Calibri" w:hAnsi="Calibri" w:cs="Times New Roman"/>
          <w:bCs/>
        </w:rPr>
        <w:t xml:space="preserve"> </w:t>
      </w:r>
      <w:r w:rsidRPr="00BB4D81">
        <w:rPr>
          <w:rFonts w:ascii="Calibri" w:eastAsia="Calibri" w:hAnsi="Calibri" w:cs="Times New Roman"/>
        </w:rPr>
        <w:t xml:space="preserve">aimed at treating, preventing or diagnosing </w:t>
      </w:r>
      <w:r w:rsidRPr="00BB4D81">
        <w:rPr>
          <w:rFonts w:ascii="Calibri" w:eastAsia="Calibri" w:hAnsi="Calibri" w:cs="Times New Roman"/>
          <w:bCs/>
        </w:rPr>
        <w:t>seriously debilitating or life-threatening diseases</w:t>
      </w:r>
      <w:r w:rsidRPr="00BB4D81">
        <w:rPr>
          <w:rFonts w:ascii="Calibri" w:eastAsia="Calibri" w:hAnsi="Calibri" w:cs="Times New Roman"/>
        </w:rPr>
        <w:t xml:space="preserve">. This includes </w:t>
      </w:r>
      <w:hyperlink r:id="rId16" w:tgtFrame="_blank" w:tooltip="A medicine for the diagnosis, prevention or treatment of a life-threatening or chronically debilitating condition that is rare (affecting not more than five in 10,000 people in the European Union) or where the medicine is unlikely to generate sufficient profit" w:history="1">
        <w:r w:rsidRPr="00BB4D81">
          <w:rPr>
            <w:rFonts w:ascii="Calibri" w:eastAsia="Calibri" w:hAnsi="Calibri" w:cs="Times New Roman"/>
          </w:rPr>
          <w:t>orphan medicines</w:t>
        </w:r>
      </w:hyperlink>
      <w:r w:rsidRPr="00BB4D81">
        <w:rPr>
          <w:rFonts w:ascii="Calibri" w:eastAsia="Calibri" w:hAnsi="Calibri" w:cs="Times New Roman"/>
        </w:rPr>
        <w:t>. </w:t>
      </w:r>
    </w:p>
    <w:p w14:paraId="20F16236" w14:textId="77777777" w:rsidR="008F1340" w:rsidRPr="00BB4D81" w:rsidRDefault="008F1340" w:rsidP="008F1340">
      <w:pPr>
        <w:rPr>
          <w:rFonts w:ascii="Calibri" w:eastAsia="Calibri" w:hAnsi="Calibri" w:cs="Times New Roman"/>
        </w:rPr>
      </w:pPr>
      <w:r w:rsidRPr="00BB4D81">
        <w:rPr>
          <w:rFonts w:ascii="Calibri" w:eastAsia="Calibri" w:hAnsi="Calibri" w:cs="Times New Roman"/>
        </w:rPr>
        <w:t>For products intended for use in emergency situations, less comprehensive pharmaceutical and non-clinical data may also be accepted.</w:t>
      </w:r>
    </w:p>
    <w:p w14:paraId="67517055" w14:textId="28A2E003" w:rsidR="008F1340" w:rsidRPr="00BB4D81" w:rsidRDefault="00F76523" w:rsidP="008F1340">
      <w:pPr>
        <w:rPr>
          <w:rFonts w:ascii="Calibri" w:eastAsia="Calibri" w:hAnsi="Calibri" w:cs="Times New Roman"/>
        </w:rPr>
      </w:pPr>
      <w:hyperlink r:id="rId17" w:tgtFrame="_blank" w:tooltip="The approval of a medicine that address unmet medical needs of patients on the basis of less comprehensive data than normally required. The available data must indicate that the medicine’s benefits outweigh its risks and the applicant should be in a position t" w:history="1">
        <w:r w:rsidR="008F1340" w:rsidRPr="00BB4D81">
          <w:rPr>
            <w:rFonts w:ascii="Calibri" w:eastAsia="Calibri" w:hAnsi="Calibri" w:cs="Times New Roman"/>
          </w:rPr>
          <w:t>Conditional marketing authorisations</w:t>
        </w:r>
      </w:hyperlink>
      <w:r w:rsidR="008F1340" w:rsidRPr="00BB4D81">
        <w:rPr>
          <w:rFonts w:ascii="Calibri" w:eastAsia="Calibri" w:hAnsi="Calibri" w:cs="Times New Roman"/>
        </w:rPr>
        <w:t xml:space="preserve"> may be granted if the </w:t>
      </w:r>
      <w:r w:rsidR="006D2E09">
        <w:rPr>
          <w:rFonts w:ascii="Calibri" w:eastAsia="Calibri" w:hAnsi="Calibri" w:cs="Times New Roman"/>
        </w:rPr>
        <w:t>committee for medicinal products for human use (</w:t>
      </w:r>
      <w:hyperlink r:id="rId18" w:tgtFrame="_blank" w:tooltip="Committee for Medicinal Products for Human Use -  the committee that is responsible for preparing the Agency's opinions on questions concerning human medicines.More information can be found under 'Committee for Medicinal Products for Human Use (CHMP)'." w:history="1">
        <w:r w:rsidR="008F1340" w:rsidRPr="00BB4D81">
          <w:rPr>
            <w:rFonts w:ascii="Calibri" w:eastAsia="Calibri" w:hAnsi="Calibri" w:cs="Times New Roman"/>
          </w:rPr>
          <w:t>CHMP</w:t>
        </w:r>
      </w:hyperlink>
      <w:r w:rsidR="006D2E09">
        <w:rPr>
          <w:rFonts w:ascii="Calibri" w:eastAsia="Calibri" w:hAnsi="Calibri" w:cs="Times New Roman"/>
        </w:rPr>
        <w:t>)</w:t>
      </w:r>
      <w:r w:rsidR="008F1340" w:rsidRPr="00BB4D81">
        <w:rPr>
          <w:rFonts w:ascii="Calibri" w:eastAsia="Calibri" w:hAnsi="Calibri" w:cs="Times New Roman"/>
        </w:rPr>
        <w:t xml:space="preserve"> finds that </w:t>
      </w:r>
      <w:r w:rsidR="008F1340" w:rsidRPr="00BB4D81">
        <w:rPr>
          <w:rFonts w:ascii="Calibri" w:eastAsia="Calibri" w:hAnsi="Calibri" w:cs="Times New Roman"/>
          <w:bCs/>
        </w:rPr>
        <w:t xml:space="preserve">all the following requirements </w:t>
      </w:r>
      <w:r w:rsidR="008F1340" w:rsidRPr="00BB4D81">
        <w:rPr>
          <w:rFonts w:ascii="Calibri" w:eastAsia="Calibri" w:hAnsi="Calibri" w:cs="Times New Roman"/>
        </w:rPr>
        <w:t>are met:</w:t>
      </w:r>
    </w:p>
    <w:p w14:paraId="3A4F47FE" w14:textId="77777777" w:rsidR="008F1340" w:rsidRPr="00BB4D81" w:rsidRDefault="008F1340" w:rsidP="00A01F03">
      <w:pPr>
        <w:numPr>
          <w:ilvl w:val="0"/>
          <w:numId w:val="37"/>
        </w:numPr>
        <w:spacing w:line="259" w:lineRule="auto"/>
        <w:rPr>
          <w:rFonts w:ascii="Calibri" w:eastAsia="Calibri" w:hAnsi="Calibri" w:cs="Times New Roman"/>
        </w:rPr>
      </w:pPr>
      <w:r w:rsidRPr="00BB4D81">
        <w:rPr>
          <w:rFonts w:ascii="Calibri" w:eastAsia="Calibri" w:hAnsi="Calibri" w:cs="Times New Roman"/>
        </w:rPr>
        <w:t>the benefit-risk balance of the product is positive;</w:t>
      </w:r>
    </w:p>
    <w:p w14:paraId="0E89B052" w14:textId="77777777" w:rsidR="008F1340" w:rsidRPr="00BB4D81" w:rsidRDefault="008F1340" w:rsidP="00A01F03">
      <w:pPr>
        <w:numPr>
          <w:ilvl w:val="0"/>
          <w:numId w:val="37"/>
        </w:numPr>
        <w:spacing w:line="259" w:lineRule="auto"/>
        <w:rPr>
          <w:rFonts w:ascii="Calibri" w:eastAsia="Calibri" w:hAnsi="Calibri" w:cs="Times New Roman"/>
        </w:rPr>
      </w:pPr>
      <w:r w:rsidRPr="00BB4D81">
        <w:rPr>
          <w:rFonts w:ascii="Calibri" w:eastAsia="Calibri" w:hAnsi="Calibri" w:cs="Times New Roman"/>
        </w:rPr>
        <w:t>it is likely that the applicant will be able to provide comprehensive data;</w:t>
      </w:r>
    </w:p>
    <w:p w14:paraId="533DF37C" w14:textId="77777777" w:rsidR="008F1340" w:rsidRPr="00BB4D81" w:rsidRDefault="008F1340" w:rsidP="00A01F03">
      <w:pPr>
        <w:numPr>
          <w:ilvl w:val="0"/>
          <w:numId w:val="37"/>
        </w:numPr>
        <w:spacing w:line="259" w:lineRule="auto"/>
        <w:rPr>
          <w:rFonts w:ascii="Calibri" w:eastAsia="Calibri" w:hAnsi="Calibri" w:cs="Times New Roman"/>
        </w:rPr>
      </w:pPr>
      <w:r w:rsidRPr="00BB4D81">
        <w:rPr>
          <w:rFonts w:ascii="Calibri" w:eastAsia="Calibri" w:hAnsi="Calibri" w:cs="Times New Roman"/>
        </w:rPr>
        <w:t>unmet medical needs will be fulfilled;</w:t>
      </w:r>
    </w:p>
    <w:p w14:paraId="0AB2B0A5" w14:textId="7E2A0EC9" w:rsidR="008F1340" w:rsidRPr="00BB4D81" w:rsidRDefault="004F4FE7" w:rsidP="008F1340">
      <w:pPr>
        <w:jc w:val="both"/>
        <w:rPr>
          <w:rFonts w:ascii="Segoe UI" w:eastAsia="Calibri" w:hAnsi="Segoe UI" w:cs="Segoe UI"/>
          <w:color w:val="FF0000"/>
          <w:sz w:val="20"/>
          <w:szCs w:val="20"/>
        </w:rPr>
      </w:pPr>
      <w:r>
        <w:rPr>
          <w:rFonts w:ascii="Calibri" w:eastAsia="Calibri" w:hAnsi="Calibri" w:cs="Times New Roman"/>
        </w:rPr>
        <w:t>T</w:t>
      </w:r>
      <w:r w:rsidR="008F1340" w:rsidRPr="00BB4D81">
        <w:rPr>
          <w:rFonts w:ascii="Calibri" w:eastAsia="Calibri" w:hAnsi="Calibri" w:cs="Times New Roman"/>
        </w:rPr>
        <w:t xml:space="preserve">he benefit to public health of the </w:t>
      </w:r>
      <w:hyperlink r:id="rId19" w:tgtFrame="_blank" w:tooltip="A substance or combination of substances that is intended to treat, prevent or diagnose a disease, or to restore, correct or modify physiological functions by exerting a pharmacological, immunological or metabolic action." w:history="1">
        <w:r w:rsidR="008F1340" w:rsidRPr="00BB4D81">
          <w:rPr>
            <w:rFonts w:ascii="Calibri" w:eastAsia="Calibri" w:hAnsi="Calibri" w:cs="Times New Roman"/>
          </w:rPr>
          <w:t>medicinal product</w:t>
        </w:r>
      </w:hyperlink>
      <w:r w:rsidR="008F1340" w:rsidRPr="00BB4D81">
        <w:rPr>
          <w:rFonts w:ascii="Calibri" w:eastAsia="Calibri" w:hAnsi="Calibri" w:cs="Times New Roman"/>
        </w:rPr>
        <w:t>'s immediate availability on the market outweighs the risks due to need for further data.</w:t>
      </w:r>
    </w:p>
    <w:p w14:paraId="042F6032" w14:textId="6BDBF581" w:rsidR="008F1340" w:rsidRDefault="008F1340" w:rsidP="008F1340">
      <w:pPr>
        <w:jc w:val="both"/>
        <w:rPr>
          <w:rFonts w:ascii="Segoe UI" w:eastAsia="Calibri" w:hAnsi="Segoe UI" w:cs="Segoe UI"/>
          <w:sz w:val="20"/>
          <w:szCs w:val="20"/>
        </w:rPr>
      </w:pPr>
      <w:r w:rsidRPr="00BB4D81">
        <w:rPr>
          <w:rFonts w:ascii="Segoe UI" w:eastAsia="Calibri" w:hAnsi="Segoe UI" w:cs="Segoe UI"/>
          <w:sz w:val="20"/>
          <w:szCs w:val="20"/>
        </w:rPr>
        <w:t>The EMA has published a 10 year report on its experience with conditional marketing authorisations, with data collected between July 2006 and June 2016. Of the 30 medicines which received conditional marketing authorisations during this period, none had to be revoked or suspended</w:t>
      </w:r>
      <w:r w:rsidR="0011690F">
        <w:rPr>
          <w:rFonts w:ascii="Segoe UI" w:eastAsia="Calibri" w:hAnsi="Segoe UI" w:cs="Segoe UI"/>
          <w:sz w:val="20"/>
          <w:szCs w:val="20"/>
          <w:vertAlign w:val="superscript"/>
        </w:rPr>
        <w:t>6</w:t>
      </w:r>
      <w:r w:rsidRPr="00BB4D81">
        <w:rPr>
          <w:rFonts w:ascii="Segoe UI" w:eastAsia="Calibri" w:hAnsi="Segoe UI" w:cs="Segoe UI"/>
          <w:sz w:val="20"/>
          <w:szCs w:val="20"/>
        </w:rPr>
        <w:t xml:space="preserve">. </w:t>
      </w:r>
    </w:p>
    <w:p w14:paraId="7066485A" w14:textId="77777777" w:rsidR="00F76523" w:rsidRPr="00BB4D81" w:rsidRDefault="00F76523" w:rsidP="008F1340">
      <w:pPr>
        <w:jc w:val="both"/>
        <w:rPr>
          <w:rFonts w:ascii="Segoe UI" w:eastAsia="Calibri" w:hAnsi="Segoe UI" w:cs="Segoe UI"/>
          <w:sz w:val="20"/>
          <w:szCs w:val="20"/>
        </w:rPr>
      </w:pPr>
    </w:p>
    <w:p w14:paraId="49CAB08A" w14:textId="7C26369F" w:rsidR="00B85D5B" w:rsidRDefault="00B85D5B" w:rsidP="008F1340">
      <w:pPr>
        <w:jc w:val="both"/>
        <w:rPr>
          <w:rFonts w:ascii="Segoe UI" w:eastAsia="Calibri" w:hAnsi="Segoe UI" w:cs="Segoe UI"/>
          <w:b/>
          <w:sz w:val="20"/>
          <w:szCs w:val="20"/>
        </w:rPr>
      </w:pPr>
      <w:r w:rsidRPr="007857CF">
        <w:rPr>
          <w:rFonts w:ascii="Segoe UI" w:eastAsia="Calibri" w:hAnsi="Segoe UI" w:cs="Segoe UI"/>
          <w:b/>
          <w:sz w:val="20"/>
          <w:szCs w:val="20"/>
        </w:rPr>
        <w:t>Authorisation - Multi-Country Workshop</w:t>
      </w:r>
    </w:p>
    <w:p w14:paraId="610A6227" w14:textId="77777777" w:rsidR="00F76523" w:rsidRPr="007857CF" w:rsidRDefault="00F76523" w:rsidP="008F1340">
      <w:pPr>
        <w:jc w:val="both"/>
        <w:rPr>
          <w:rFonts w:ascii="Segoe UI" w:eastAsia="Calibri" w:hAnsi="Segoe UI" w:cs="Segoe UI"/>
          <w:b/>
          <w:sz w:val="20"/>
          <w:szCs w:val="20"/>
        </w:rPr>
      </w:pPr>
    </w:p>
    <w:p w14:paraId="3BCAFF59" w14:textId="2D45F971" w:rsidR="009B45F0" w:rsidRPr="00BB4D81" w:rsidRDefault="004A5E97" w:rsidP="008F1340">
      <w:pPr>
        <w:jc w:val="both"/>
        <w:rPr>
          <w:rFonts w:ascii="Segoe UI" w:eastAsia="Calibri" w:hAnsi="Segoe UI" w:cs="Segoe UI"/>
          <w:sz w:val="20"/>
          <w:szCs w:val="20"/>
        </w:rPr>
      </w:pPr>
      <w:r w:rsidRPr="00BB4D81">
        <w:rPr>
          <w:rFonts w:ascii="Segoe UI" w:eastAsia="Calibri" w:hAnsi="Segoe UI" w:cs="Segoe UI"/>
          <w:sz w:val="20"/>
          <w:szCs w:val="20"/>
        </w:rPr>
        <w:t>The discussion surrounding authorisation, raised a number of discussion points, which need to be considered when developing the guidelines. Should authorisations be linked to clinical indication for use? Should options in relation to restrictions on an authorisation consider</w:t>
      </w:r>
      <w:r w:rsidR="006C6C3A" w:rsidRPr="00BB4D81">
        <w:rPr>
          <w:rFonts w:ascii="Segoe UI" w:eastAsia="Calibri" w:hAnsi="Segoe UI" w:cs="Segoe UI"/>
          <w:sz w:val="20"/>
          <w:szCs w:val="20"/>
        </w:rPr>
        <w:t xml:space="preserve"> the following</w:t>
      </w:r>
      <w:r w:rsidRPr="00BB4D81">
        <w:rPr>
          <w:rFonts w:ascii="Segoe UI" w:eastAsia="Calibri" w:hAnsi="Segoe UI" w:cs="Segoe UI"/>
          <w:sz w:val="20"/>
          <w:szCs w:val="20"/>
        </w:rPr>
        <w:t>:  time limit</w:t>
      </w:r>
      <w:r w:rsidR="006C6C3A" w:rsidRPr="00BB4D81">
        <w:rPr>
          <w:rFonts w:ascii="Segoe UI" w:eastAsia="Calibri" w:hAnsi="Segoe UI" w:cs="Segoe UI"/>
          <w:sz w:val="20"/>
          <w:szCs w:val="20"/>
        </w:rPr>
        <w:t>ation</w:t>
      </w:r>
      <w:r w:rsidRPr="00BB4D81">
        <w:rPr>
          <w:rFonts w:ascii="Segoe UI" w:eastAsia="Calibri" w:hAnsi="Segoe UI" w:cs="Segoe UI"/>
          <w:sz w:val="20"/>
          <w:szCs w:val="20"/>
        </w:rPr>
        <w:t xml:space="preserve">; limited number of patients; limited cohort of patients; </w:t>
      </w:r>
      <w:r w:rsidR="006C6C3A" w:rsidRPr="00BB4D81">
        <w:rPr>
          <w:rFonts w:ascii="Segoe UI" w:eastAsia="Calibri" w:hAnsi="Segoe UI" w:cs="Segoe UI"/>
          <w:sz w:val="20"/>
          <w:szCs w:val="20"/>
        </w:rPr>
        <w:t xml:space="preserve">be </w:t>
      </w:r>
      <w:r w:rsidRPr="00BB4D81">
        <w:rPr>
          <w:rFonts w:ascii="Segoe UI" w:eastAsia="Calibri" w:hAnsi="Segoe UI" w:cs="Segoe UI"/>
          <w:sz w:val="20"/>
          <w:szCs w:val="20"/>
        </w:rPr>
        <w:t>restricted to use in specific centres</w:t>
      </w:r>
      <w:r w:rsidR="006C6C3A" w:rsidRPr="00BB4D81">
        <w:rPr>
          <w:rFonts w:ascii="Segoe UI" w:eastAsia="Calibri" w:hAnsi="Segoe UI" w:cs="Segoe UI"/>
          <w:sz w:val="20"/>
          <w:szCs w:val="20"/>
        </w:rPr>
        <w:t xml:space="preserve">? These issues will be further discussed </w:t>
      </w:r>
      <w:r w:rsidR="00B06281">
        <w:rPr>
          <w:rFonts w:ascii="Segoe UI" w:eastAsia="Calibri" w:hAnsi="Segoe UI" w:cs="Segoe UI"/>
          <w:sz w:val="20"/>
          <w:szCs w:val="20"/>
        </w:rPr>
        <w:t>and addressed</w:t>
      </w:r>
      <w:r w:rsidR="006C6C3A" w:rsidRPr="00BB4D81">
        <w:rPr>
          <w:rFonts w:ascii="Segoe UI" w:eastAsia="Calibri" w:hAnsi="Segoe UI" w:cs="Segoe UI"/>
          <w:sz w:val="20"/>
          <w:szCs w:val="20"/>
        </w:rPr>
        <w:t xml:space="preserve"> during the development of the guidelines.</w:t>
      </w:r>
    </w:p>
    <w:p w14:paraId="51D8C0A8" w14:textId="77777777" w:rsidR="009B45F0" w:rsidRPr="00BB4D81" w:rsidRDefault="009B45F0" w:rsidP="008F1340">
      <w:pPr>
        <w:jc w:val="both"/>
        <w:rPr>
          <w:rFonts w:ascii="Segoe UI" w:eastAsia="Calibri" w:hAnsi="Segoe UI" w:cs="Segoe UI"/>
          <w:sz w:val="20"/>
          <w:szCs w:val="20"/>
        </w:rPr>
      </w:pPr>
    </w:p>
    <w:p w14:paraId="439DF1F5" w14:textId="3B7367D6" w:rsidR="008F1340" w:rsidRPr="007857CF" w:rsidRDefault="008F1340" w:rsidP="008F1340">
      <w:pPr>
        <w:pStyle w:val="Heading2"/>
        <w:numPr>
          <w:ilvl w:val="0"/>
          <w:numId w:val="3"/>
        </w:numPr>
        <w:rPr>
          <w:rFonts w:eastAsia="Times New Roman"/>
          <w:b/>
          <w:lang w:eastAsia="en-US"/>
        </w:rPr>
      </w:pPr>
      <w:bookmarkStart w:id="15" w:name="_Toc48388681"/>
      <w:r w:rsidRPr="007857CF">
        <w:rPr>
          <w:rFonts w:eastAsia="Times New Roman"/>
          <w:b/>
          <w:lang w:eastAsia="en-US"/>
        </w:rPr>
        <w:t>Part E - Framework of Competent Authority</w:t>
      </w:r>
      <w:bookmarkEnd w:id="15"/>
    </w:p>
    <w:p w14:paraId="50FF32D7" w14:textId="58E18D1E" w:rsidR="008F1340" w:rsidRPr="00BB4D81" w:rsidRDefault="008F1340" w:rsidP="008F1340">
      <w:pPr>
        <w:rPr>
          <w:b/>
        </w:rPr>
      </w:pPr>
    </w:p>
    <w:p w14:paraId="55BC1460" w14:textId="77777777" w:rsidR="00FB6B15" w:rsidRPr="007857CF" w:rsidRDefault="00FB6B15" w:rsidP="008F1340">
      <w:pPr>
        <w:jc w:val="both"/>
        <w:rPr>
          <w:rFonts w:ascii="Segoe UI" w:eastAsia="Calibri" w:hAnsi="Segoe UI" w:cs="Segoe UI"/>
          <w:b/>
          <w:sz w:val="20"/>
          <w:szCs w:val="20"/>
        </w:rPr>
      </w:pPr>
      <w:r w:rsidRPr="007857CF">
        <w:rPr>
          <w:rFonts w:ascii="Segoe UI" w:eastAsia="Calibri" w:hAnsi="Segoe UI" w:cs="Segoe UI"/>
          <w:b/>
          <w:sz w:val="20"/>
          <w:szCs w:val="20"/>
        </w:rPr>
        <w:t>Framework of CA – WP5 Survey</w:t>
      </w:r>
    </w:p>
    <w:p w14:paraId="3DA3D931" w14:textId="2C59E1B4" w:rsidR="008F1340" w:rsidRPr="00BB4D81" w:rsidRDefault="008F1340" w:rsidP="008F1340">
      <w:pPr>
        <w:jc w:val="both"/>
        <w:rPr>
          <w:rFonts w:ascii="Segoe UI" w:eastAsia="Calibri" w:hAnsi="Segoe UI" w:cs="Segoe UI"/>
          <w:sz w:val="20"/>
          <w:szCs w:val="20"/>
        </w:rPr>
      </w:pPr>
      <w:r w:rsidRPr="00BB4D81">
        <w:rPr>
          <w:rFonts w:ascii="Segoe UI" w:eastAsia="Calibri" w:hAnsi="Segoe UI" w:cs="Segoe UI"/>
          <w:sz w:val="20"/>
          <w:szCs w:val="20"/>
        </w:rPr>
        <w:t xml:space="preserve">The survey was </w:t>
      </w:r>
      <w:r w:rsidR="00FB6B15" w:rsidRPr="00BB4D81">
        <w:rPr>
          <w:rFonts w:ascii="Segoe UI" w:eastAsia="Calibri" w:hAnsi="Segoe UI" w:cs="Segoe UI"/>
          <w:sz w:val="20"/>
          <w:szCs w:val="20"/>
        </w:rPr>
        <w:t>utilised</w:t>
      </w:r>
      <w:r w:rsidRPr="00BB4D81">
        <w:rPr>
          <w:rFonts w:ascii="Segoe UI" w:eastAsia="Calibri" w:hAnsi="Segoe UI" w:cs="Segoe UI"/>
          <w:sz w:val="20"/>
          <w:szCs w:val="20"/>
        </w:rPr>
        <w:t xml:space="preserve"> to get an overview on what is required at a CA to implement a PPA system and discuss the various models at CAs. This includes gaining information on </w:t>
      </w:r>
    </w:p>
    <w:p w14:paraId="51D006F0" w14:textId="77777777" w:rsidR="008F1340" w:rsidRPr="00BB4D81" w:rsidRDefault="008F1340" w:rsidP="00A01F03">
      <w:pPr>
        <w:numPr>
          <w:ilvl w:val="0"/>
          <w:numId w:val="38"/>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Organisational models and mandates of CA’s;</w:t>
      </w:r>
    </w:p>
    <w:p w14:paraId="34A712BC" w14:textId="77777777" w:rsidR="008F1340" w:rsidRPr="00BB4D81" w:rsidRDefault="008F1340" w:rsidP="00A01F03">
      <w:pPr>
        <w:numPr>
          <w:ilvl w:val="0"/>
          <w:numId w:val="38"/>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Optimal composition of assessment team; </w:t>
      </w:r>
    </w:p>
    <w:p w14:paraId="08867F35" w14:textId="77777777" w:rsidR="008F1340" w:rsidRPr="00BB4D81" w:rsidRDefault="008F1340" w:rsidP="008F1340">
      <w:pPr>
        <w:ind w:left="720"/>
        <w:contextualSpacing/>
        <w:jc w:val="both"/>
        <w:rPr>
          <w:rFonts w:ascii="Segoe UI" w:eastAsia="Calibri" w:hAnsi="Segoe UI" w:cs="Segoe UI"/>
          <w:sz w:val="20"/>
          <w:szCs w:val="20"/>
        </w:rPr>
      </w:pPr>
    </w:p>
    <w:p w14:paraId="3ED91411" w14:textId="1BC2ADFC" w:rsidR="008F1340" w:rsidRPr="00BB4D81" w:rsidRDefault="008F1340" w:rsidP="008F1340">
      <w:pPr>
        <w:jc w:val="both"/>
        <w:rPr>
          <w:rFonts w:ascii="Segoe UI" w:eastAsia="Calibri" w:hAnsi="Segoe UI" w:cs="Segoe UI"/>
          <w:sz w:val="20"/>
          <w:szCs w:val="20"/>
        </w:rPr>
      </w:pPr>
      <w:r w:rsidRPr="00BB4D81">
        <w:rPr>
          <w:rFonts w:ascii="Segoe UI" w:eastAsia="Calibri" w:hAnsi="Segoe UI" w:cs="Segoe UI"/>
          <w:sz w:val="20"/>
          <w:szCs w:val="20"/>
        </w:rPr>
        <w:t xml:space="preserve">Of the 19 </w:t>
      </w:r>
      <w:r w:rsidR="00367D3B" w:rsidRPr="00BB4D81">
        <w:rPr>
          <w:rFonts w:ascii="Segoe UI" w:eastAsia="Calibri" w:hAnsi="Segoe UI" w:cs="Segoe UI"/>
          <w:sz w:val="20"/>
          <w:szCs w:val="20"/>
        </w:rPr>
        <w:t>respondents,</w:t>
      </w:r>
      <w:r w:rsidRPr="00BB4D81">
        <w:rPr>
          <w:rFonts w:ascii="Segoe UI" w:eastAsia="Calibri" w:hAnsi="Segoe UI" w:cs="Segoe UI"/>
          <w:sz w:val="20"/>
          <w:szCs w:val="20"/>
        </w:rPr>
        <w:t xml:space="preserve"> 58% (11</w:t>
      </w:r>
      <w:r w:rsidR="006860E8" w:rsidRPr="00BB4D81">
        <w:rPr>
          <w:rFonts w:ascii="Segoe UI" w:eastAsia="Calibri" w:hAnsi="Segoe UI" w:cs="Segoe UI"/>
          <w:sz w:val="20"/>
          <w:szCs w:val="20"/>
        </w:rPr>
        <w:t>/19</w:t>
      </w:r>
      <w:r w:rsidRPr="00BB4D81">
        <w:rPr>
          <w:rFonts w:ascii="Segoe UI" w:eastAsia="Calibri" w:hAnsi="Segoe UI" w:cs="Segoe UI"/>
          <w:sz w:val="20"/>
          <w:szCs w:val="20"/>
        </w:rPr>
        <w:t>) indicated that, yes, there were minimum requirements for qualification defined for those CA personnel involved in the review / evaluation of applications for authorisation.</w:t>
      </w:r>
    </w:p>
    <w:p w14:paraId="28E39676" w14:textId="3F6C3914" w:rsidR="008F1340" w:rsidRPr="00BB4D81" w:rsidRDefault="008F1340" w:rsidP="008F1340">
      <w:pPr>
        <w:jc w:val="both"/>
        <w:rPr>
          <w:rFonts w:ascii="Segoe UI" w:eastAsia="Calibri" w:hAnsi="Segoe UI" w:cs="Segoe UI"/>
          <w:sz w:val="20"/>
          <w:szCs w:val="20"/>
        </w:rPr>
      </w:pPr>
      <w:r w:rsidRPr="00BB4D81">
        <w:rPr>
          <w:rFonts w:ascii="Segoe UI" w:eastAsia="Calibri" w:hAnsi="Segoe UI" w:cs="Segoe UI"/>
          <w:sz w:val="20"/>
          <w:szCs w:val="20"/>
        </w:rPr>
        <w:t xml:space="preserve">In the majority of cases that answered yes, inspectors were responsible for the review and evaluation of applications for authorisation. It was determined that </w:t>
      </w:r>
      <w:r w:rsidR="00407C31" w:rsidRPr="00BB4D81">
        <w:rPr>
          <w:rFonts w:ascii="Segoe UI" w:eastAsia="Calibri" w:hAnsi="Segoe UI" w:cs="Segoe UI"/>
          <w:sz w:val="20"/>
          <w:szCs w:val="20"/>
        </w:rPr>
        <w:t>one CA</w:t>
      </w:r>
      <w:r w:rsidRPr="00BB4D81">
        <w:rPr>
          <w:rFonts w:ascii="Segoe UI" w:eastAsia="Calibri" w:hAnsi="Segoe UI" w:cs="Segoe UI"/>
          <w:b/>
          <w:sz w:val="20"/>
          <w:szCs w:val="20"/>
        </w:rPr>
        <w:t xml:space="preserve"> </w:t>
      </w:r>
      <w:r w:rsidRPr="00BB4D81">
        <w:rPr>
          <w:rFonts w:ascii="Segoe UI" w:eastAsia="Calibri" w:hAnsi="Segoe UI" w:cs="Segoe UI"/>
          <w:sz w:val="20"/>
          <w:szCs w:val="20"/>
        </w:rPr>
        <w:t>employ the use of a “supervisory board” of 5 people.</w:t>
      </w:r>
    </w:p>
    <w:p w14:paraId="3E0FEEE1" w14:textId="0DC2D540" w:rsidR="008F1340" w:rsidRDefault="008F1340" w:rsidP="008F1340">
      <w:pPr>
        <w:jc w:val="both"/>
        <w:rPr>
          <w:rFonts w:ascii="Segoe UI" w:eastAsia="Calibri" w:hAnsi="Segoe UI" w:cs="Segoe UI"/>
          <w:sz w:val="20"/>
          <w:szCs w:val="20"/>
        </w:rPr>
      </w:pPr>
      <w:r w:rsidRPr="00BB4D81">
        <w:rPr>
          <w:rFonts w:ascii="Segoe UI" w:eastAsia="Calibri" w:hAnsi="Segoe UI" w:cs="Segoe UI"/>
          <w:sz w:val="20"/>
          <w:szCs w:val="20"/>
        </w:rPr>
        <w:t>Of 20 respondents, 30% (6</w:t>
      </w:r>
      <w:r w:rsidR="006860E8" w:rsidRPr="00BB4D81">
        <w:rPr>
          <w:rFonts w:ascii="Segoe UI" w:eastAsia="Calibri" w:hAnsi="Segoe UI" w:cs="Segoe UI"/>
          <w:sz w:val="20"/>
          <w:szCs w:val="20"/>
        </w:rPr>
        <w:t>/20</w:t>
      </w:r>
      <w:r w:rsidRPr="00BB4D81">
        <w:rPr>
          <w:rFonts w:ascii="Segoe UI" w:eastAsia="Calibri" w:hAnsi="Segoe UI" w:cs="Segoe UI"/>
          <w:sz w:val="20"/>
          <w:szCs w:val="20"/>
        </w:rPr>
        <w:t>) indicated that the CA used external (third party) experts or expert panels in the review / evaluation of applications for authorisation.  With the majority indicating that external experts or panels were not used.</w:t>
      </w:r>
    </w:p>
    <w:p w14:paraId="067BBBFD" w14:textId="77777777" w:rsidR="00F76523" w:rsidRPr="00BB4D81" w:rsidRDefault="00F76523" w:rsidP="008F1340">
      <w:pPr>
        <w:jc w:val="both"/>
        <w:rPr>
          <w:rFonts w:ascii="Segoe UI" w:eastAsia="Calibri" w:hAnsi="Segoe UI" w:cs="Segoe UI"/>
          <w:sz w:val="20"/>
          <w:szCs w:val="20"/>
        </w:rPr>
      </w:pPr>
    </w:p>
    <w:p w14:paraId="2F491191" w14:textId="633588C2" w:rsidR="00FB6B15" w:rsidRDefault="00FB6B15" w:rsidP="00FB6B15">
      <w:pPr>
        <w:jc w:val="both"/>
        <w:rPr>
          <w:rFonts w:ascii="Segoe UI" w:eastAsia="Calibri" w:hAnsi="Segoe UI" w:cs="Segoe UI"/>
          <w:b/>
          <w:sz w:val="20"/>
          <w:szCs w:val="20"/>
        </w:rPr>
      </w:pPr>
      <w:r w:rsidRPr="007857CF">
        <w:rPr>
          <w:rFonts w:ascii="Segoe UI" w:eastAsia="Calibri" w:hAnsi="Segoe UI" w:cs="Segoe UI"/>
          <w:b/>
          <w:sz w:val="20"/>
          <w:szCs w:val="20"/>
        </w:rPr>
        <w:t>Framework of CA – Desk-Based Review</w:t>
      </w:r>
    </w:p>
    <w:p w14:paraId="17CC5751" w14:textId="77777777" w:rsidR="00F76523" w:rsidRPr="007857CF" w:rsidRDefault="00F76523" w:rsidP="00FB6B15">
      <w:pPr>
        <w:jc w:val="both"/>
        <w:rPr>
          <w:rFonts w:ascii="Segoe UI" w:eastAsia="Calibri" w:hAnsi="Segoe UI" w:cs="Segoe UI"/>
          <w:b/>
          <w:sz w:val="20"/>
          <w:szCs w:val="20"/>
        </w:rPr>
      </w:pPr>
    </w:p>
    <w:p w14:paraId="29E75DEB" w14:textId="280051A6" w:rsidR="00FB6B15" w:rsidRPr="007857CF" w:rsidRDefault="00FB6B15" w:rsidP="00FB6B15">
      <w:pPr>
        <w:jc w:val="both"/>
        <w:rPr>
          <w:rFonts w:ascii="Segoe UI" w:eastAsia="Calibri" w:hAnsi="Segoe UI" w:cs="Segoe UI"/>
          <w:b/>
          <w:sz w:val="20"/>
          <w:szCs w:val="20"/>
        </w:rPr>
      </w:pPr>
      <w:r w:rsidRPr="007857CF">
        <w:rPr>
          <w:rFonts w:ascii="Segoe UI" w:eastAsia="Calibri" w:hAnsi="Segoe UI" w:cs="Segoe UI"/>
          <w:b/>
          <w:sz w:val="20"/>
          <w:szCs w:val="20"/>
        </w:rPr>
        <w:t>Medical Devices Conformity Assessment:</w:t>
      </w:r>
    </w:p>
    <w:p w14:paraId="2C0AC0D0" w14:textId="4B328F2C" w:rsidR="00FB6B15" w:rsidRPr="00BB4D81" w:rsidRDefault="00FB6B15" w:rsidP="00FB6B15">
      <w:pPr>
        <w:jc w:val="both"/>
        <w:rPr>
          <w:rFonts w:ascii="Segoe UI" w:eastAsia="Calibri" w:hAnsi="Segoe UI" w:cs="Segoe UI"/>
          <w:sz w:val="20"/>
          <w:szCs w:val="20"/>
        </w:rPr>
      </w:pPr>
      <w:r w:rsidRPr="00BB4D81">
        <w:rPr>
          <w:rFonts w:ascii="Segoe UI" w:eastAsia="Calibri" w:hAnsi="Segoe UI" w:cs="Segoe UI"/>
          <w:sz w:val="20"/>
          <w:szCs w:val="20"/>
        </w:rPr>
        <w:t xml:space="preserve">Medical device Regulation 2017/745 details the requirements for </w:t>
      </w:r>
      <w:r w:rsidR="00407C31" w:rsidRPr="00BB4D81">
        <w:rPr>
          <w:rFonts w:ascii="Segoe UI" w:eastAsia="Calibri" w:hAnsi="Segoe UI" w:cs="Segoe UI"/>
          <w:sz w:val="20"/>
          <w:szCs w:val="20"/>
        </w:rPr>
        <w:t xml:space="preserve">experts employed by the notified body and also </w:t>
      </w:r>
      <w:r w:rsidRPr="00BB4D81">
        <w:rPr>
          <w:rFonts w:ascii="Segoe UI" w:eastAsia="Calibri" w:hAnsi="Segoe UI" w:cs="Segoe UI"/>
          <w:sz w:val="20"/>
          <w:szCs w:val="20"/>
        </w:rPr>
        <w:t>external experts / expert panels:</w:t>
      </w:r>
    </w:p>
    <w:tbl>
      <w:tblPr>
        <w:tblStyle w:val="TableGrid"/>
        <w:tblW w:w="0" w:type="auto"/>
        <w:tblLook w:val="04A0" w:firstRow="1" w:lastRow="0" w:firstColumn="1" w:lastColumn="0" w:noHBand="0" w:noVBand="1"/>
      </w:tblPr>
      <w:tblGrid>
        <w:gridCol w:w="9350"/>
      </w:tblGrid>
      <w:tr w:rsidR="00FF0F26" w:rsidRPr="00BB4D81" w14:paraId="157E50A0" w14:textId="77777777" w:rsidTr="00FF0F26">
        <w:tc>
          <w:tcPr>
            <w:tcW w:w="9350" w:type="dxa"/>
          </w:tcPr>
          <w:p w14:paraId="49E9EAF3" w14:textId="687293EF" w:rsidR="00FF0F26" w:rsidRPr="00BB4D81" w:rsidRDefault="00FF0F26" w:rsidP="00FF0F26">
            <w:pPr>
              <w:spacing w:line="360" w:lineRule="auto"/>
              <w:jc w:val="both"/>
              <w:rPr>
                <w:rFonts w:ascii="Segoe UI" w:eastAsia="Calibri" w:hAnsi="Segoe UI" w:cs="Segoe UI"/>
                <w:sz w:val="20"/>
                <w:szCs w:val="20"/>
              </w:rPr>
            </w:pPr>
            <w:r w:rsidRPr="00BB4D81">
              <w:rPr>
                <w:rFonts w:ascii="Segoe UI" w:eastAsia="Calibri" w:hAnsi="Segoe UI" w:cs="Segoe UI"/>
                <w:sz w:val="20"/>
                <w:szCs w:val="20"/>
              </w:rPr>
              <w:t xml:space="preserve">3.2.4. The notified body shall have </w:t>
            </w:r>
            <w:r w:rsidRPr="00BB4D81">
              <w:rPr>
                <w:rFonts w:ascii="Segoe UI" w:eastAsia="Calibri" w:hAnsi="Segoe UI" w:cs="Segoe UI"/>
                <w:sz w:val="20"/>
                <w:szCs w:val="20"/>
                <w:u w:val="single"/>
              </w:rPr>
              <w:t>permanent availability of personnel with relevant clinical expertise</w:t>
            </w:r>
            <w:r w:rsidRPr="00BB4D81">
              <w:rPr>
                <w:rFonts w:ascii="Segoe UI" w:eastAsia="Calibri" w:hAnsi="Segoe UI" w:cs="Segoe UI"/>
                <w:sz w:val="20"/>
                <w:szCs w:val="20"/>
              </w:rPr>
              <w:t xml:space="preserve"> and where possible such personnel shall be employed by the notified body itself. Such personnel shall be integrated throughout the notified body's assessment and decision-making process in order to: </w:t>
            </w:r>
          </w:p>
          <w:p w14:paraId="2DE740F3" w14:textId="77777777" w:rsidR="00FF0F26" w:rsidRPr="00BB4D81" w:rsidRDefault="00FF0F26" w:rsidP="00324670">
            <w:pPr>
              <w:numPr>
                <w:ilvl w:val="0"/>
                <w:numId w:val="40"/>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identify when specialist input is required for the assessment of the clinical evaluation conducted by the manufacturer and identify appropriately qualified experts;  </w:t>
            </w:r>
          </w:p>
          <w:p w14:paraId="1BB3677F" w14:textId="77777777" w:rsidR="00FF0F26" w:rsidRPr="00BB4D81" w:rsidRDefault="00FF0F26" w:rsidP="00324670">
            <w:pPr>
              <w:numPr>
                <w:ilvl w:val="0"/>
                <w:numId w:val="40"/>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be able to review and scientifically challenge the clinical data contained within the clinical evaluation, and any associated clinical investigations, and appropriately guide external clinical experts in the assessment of the clinical evaluation presented by the manufacturer; </w:t>
            </w:r>
          </w:p>
          <w:p w14:paraId="4C9635F9" w14:textId="77777777" w:rsidR="00FF0F26" w:rsidRPr="00BB4D81" w:rsidRDefault="00FF0F26" w:rsidP="00324670">
            <w:pPr>
              <w:numPr>
                <w:ilvl w:val="0"/>
                <w:numId w:val="40"/>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be able to scientifically evaluate and, if necessary, challenge the clinical evaluation presented, and the results of the external clinical experts' assessment of the manufacturer's clinical evaluation; </w:t>
            </w:r>
          </w:p>
          <w:p w14:paraId="39A16C32" w14:textId="77777777" w:rsidR="00FF0F26" w:rsidRPr="00BB4D81" w:rsidRDefault="00FF0F26" w:rsidP="00324670">
            <w:pPr>
              <w:numPr>
                <w:ilvl w:val="0"/>
                <w:numId w:val="40"/>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be able to ascertain the comparability and consistency of the assessments of clinical evaluations conducted by clinical experts; </w:t>
            </w:r>
          </w:p>
          <w:p w14:paraId="00C092BC" w14:textId="77777777" w:rsidR="00FF0F26" w:rsidRPr="00BB4D81" w:rsidRDefault="00FF0F26" w:rsidP="00324670">
            <w:pPr>
              <w:numPr>
                <w:ilvl w:val="0"/>
                <w:numId w:val="40"/>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be able to make an assessment of the manufacturer's clinical evaluation and a clinical judgement of the opinion provided by any external expert and make a recommendation to the notified body's decision maker; and </w:t>
            </w:r>
          </w:p>
          <w:p w14:paraId="76C9DE3B" w14:textId="77777777" w:rsidR="00FF0F26" w:rsidRPr="00BB4D81" w:rsidRDefault="00FF0F26" w:rsidP="00324670">
            <w:pPr>
              <w:numPr>
                <w:ilvl w:val="0"/>
                <w:numId w:val="40"/>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be able to draw up records and reports demonstrating that the relevant conformity assessment activities have been appropriately carried out. </w:t>
            </w:r>
          </w:p>
          <w:p w14:paraId="395F7685" w14:textId="77777777" w:rsidR="00FF0F26" w:rsidRPr="00BB4D81" w:rsidRDefault="00FF0F26" w:rsidP="00FF0F26">
            <w:pPr>
              <w:spacing w:line="360" w:lineRule="auto"/>
              <w:jc w:val="both"/>
              <w:rPr>
                <w:rFonts w:ascii="Segoe UI" w:eastAsia="Calibri" w:hAnsi="Segoe UI" w:cs="Segoe UI"/>
                <w:sz w:val="20"/>
                <w:szCs w:val="20"/>
              </w:rPr>
            </w:pPr>
            <w:r w:rsidRPr="00BB4D81">
              <w:rPr>
                <w:rFonts w:ascii="Segoe UI" w:eastAsia="Calibri" w:hAnsi="Segoe UI" w:cs="Segoe UI"/>
                <w:sz w:val="20"/>
                <w:szCs w:val="20"/>
              </w:rPr>
              <w:t xml:space="preserve">3.2.5. The personnel responsible for carrying out product-related reviews (product reviewers), such as technical documentation reviews or type examination, including aspects such as clinical evaluation, biological safety, sterilisation and software validation, shall have all of the following proven qualifications: </w:t>
            </w:r>
          </w:p>
          <w:p w14:paraId="1E529FB7" w14:textId="77777777"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successful completion of a university or a technical college degree or equivalent qualification in relevant studies, e.g. medicine, pharmacy, engineering or other relevant sciences; </w:t>
            </w:r>
          </w:p>
          <w:p w14:paraId="62C5E953" w14:textId="77777777"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four years' professional experience in the field of healthcare products or related activities, such as in manufacturing, auditing or research, of which two years shall be in the design, manufacture, testing or use of the device or technology to be assessed or related to the scientific aspects to be assessed; </w:t>
            </w:r>
          </w:p>
          <w:p w14:paraId="5D94F7AE" w14:textId="77777777"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knowledge of device legislation, including the general safety and performance requirements set out in Annex I; </w:t>
            </w:r>
          </w:p>
          <w:p w14:paraId="36EEC8F2" w14:textId="48174F6B"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appropriate knowledge and experience of relevant harmonised standards, </w:t>
            </w:r>
            <w:r w:rsidR="006D2E09">
              <w:rPr>
                <w:rFonts w:ascii="Segoe UI" w:eastAsia="Calibri" w:hAnsi="Segoe UI" w:cs="Segoe UI"/>
                <w:sz w:val="20"/>
                <w:szCs w:val="20"/>
              </w:rPr>
              <w:t>common specifications (</w:t>
            </w:r>
            <w:r w:rsidRPr="00BB4D81">
              <w:rPr>
                <w:rFonts w:ascii="Segoe UI" w:eastAsia="Calibri" w:hAnsi="Segoe UI" w:cs="Segoe UI"/>
                <w:sz w:val="20"/>
                <w:szCs w:val="20"/>
              </w:rPr>
              <w:t>CS</w:t>
            </w:r>
            <w:r w:rsidR="006D2E09">
              <w:rPr>
                <w:rFonts w:ascii="Segoe UI" w:eastAsia="Calibri" w:hAnsi="Segoe UI" w:cs="Segoe UI"/>
                <w:sz w:val="20"/>
                <w:szCs w:val="20"/>
              </w:rPr>
              <w:t>)</w:t>
            </w:r>
            <w:r w:rsidRPr="00BB4D81">
              <w:rPr>
                <w:rFonts w:ascii="Segoe UI" w:eastAsia="Calibri" w:hAnsi="Segoe UI" w:cs="Segoe UI"/>
                <w:sz w:val="20"/>
                <w:szCs w:val="20"/>
              </w:rPr>
              <w:t xml:space="preserve"> and guidance documents; </w:t>
            </w:r>
          </w:p>
          <w:p w14:paraId="019FB3A0" w14:textId="77777777"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appropriate knowledge and experience of risk management and related device standards and guidance documents; </w:t>
            </w:r>
          </w:p>
          <w:p w14:paraId="66BAAE14" w14:textId="77777777"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appropriate knowledge and experience of clinical evaluation; </w:t>
            </w:r>
          </w:p>
          <w:p w14:paraId="22B534DF" w14:textId="77777777"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appropriate knowledge of the devices which they are assessing; </w:t>
            </w:r>
          </w:p>
          <w:p w14:paraId="1CBA1AC4" w14:textId="77777777"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appropriate knowledge and experience of the conformity assessment procedures laid down in Annexes IX to XI, in particular of the aspects of those procedures for which they are responsible, and adequate authorisation for carrying out those assessments; </w:t>
            </w:r>
          </w:p>
          <w:p w14:paraId="2AA19D2F" w14:textId="77777777" w:rsidR="00FF0F26" w:rsidRPr="00BB4D81" w:rsidRDefault="00FF0F26" w:rsidP="00324670">
            <w:pPr>
              <w:numPr>
                <w:ilvl w:val="0"/>
                <w:numId w:val="41"/>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the ability to draw up records and reports demonstrating that the relevant conformity assessment activities have been appropriately carried out. </w:t>
            </w:r>
          </w:p>
          <w:p w14:paraId="1517CE99" w14:textId="77777777" w:rsidR="00FF0F26" w:rsidRPr="00BB4D81" w:rsidRDefault="00FF0F26" w:rsidP="00324670">
            <w:pPr>
              <w:numPr>
                <w:ilvl w:val="0"/>
                <w:numId w:val="42"/>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the ability to draw up records and reports demonstrating that the relevant conformity assessment activities have been appropriately carried out. </w:t>
            </w:r>
          </w:p>
          <w:p w14:paraId="4D5D71BD" w14:textId="77777777" w:rsidR="00FF0F26" w:rsidRPr="00BB4D81" w:rsidRDefault="00FF0F26" w:rsidP="00FF0F26">
            <w:pPr>
              <w:spacing w:line="360" w:lineRule="auto"/>
              <w:jc w:val="both"/>
              <w:rPr>
                <w:rFonts w:ascii="Segoe UI" w:eastAsia="Calibri" w:hAnsi="Segoe UI" w:cs="Segoe UI"/>
                <w:sz w:val="20"/>
                <w:szCs w:val="20"/>
              </w:rPr>
            </w:pPr>
            <w:r w:rsidRPr="00BB4D81">
              <w:rPr>
                <w:rFonts w:ascii="Segoe UI" w:eastAsia="Calibri" w:hAnsi="Segoe UI" w:cs="Segoe UI"/>
                <w:sz w:val="20"/>
                <w:szCs w:val="20"/>
              </w:rPr>
              <w:t xml:space="preserve">3.3. Documentation of qualification, training and authorisation of personnel </w:t>
            </w:r>
          </w:p>
          <w:p w14:paraId="14E1354E" w14:textId="77777777" w:rsidR="00FF0F26" w:rsidRPr="00BB4D81" w:rsidRDefault="00FF0F26" w:rsidP="00FF0F26">
            <w:pPr>
              <w:spacing w:line="360" w:lineRule="auto"/>
              <w:jc w:val="both"/>
              <w:rPr>
                <w:rFonts w:ascii="Segoe UI" w:eastAsia="Calibri" w:hAnsi="Segoe UI" w:cs="Segoe UI"/>
                <w:sz w:val="20"/>
                <w:szCs w:val="20"/>
              </w:rPr>
            </w:pPr>
            <w:r w:rsidRPr="00BB4D81">
              <w:rPr>
                <w:rFonts w:ascii="Segoe UI" w:eastAsia="Calibri" w:hAnsi="Segoe UI" w:cs="Segoe UI"/>
                <w:sz w:val="20"/>
                <w:szCs w:val="20"/>
              </w:rPr>
              <w:t xml:space="preserve">3.3.1. The notified body shall have a procedure in place to fully document the qualification of each member of personnel involved in conformity assessment activities and the satisfaction of the qualification criteria referred to in Section 3.2. </w:t>
            </w:r>
          </w:p>
          <w:p w14:paraId="1EC6BC6B" w14:textId="77777777" w:rsidR="00FF0F26" w:rsidRPr="00BB4D81" w:rsidRDefault="00FF0F26" w:rsidP="00FF0F26">
            <w:pPr>
              <w:spacing w:line="360" w:lineRule="auto"/>
              <w:jc w:val="both"/>
              <w:rPr>
                <w:rFonts w:ascii="Segoe UI" w:eastAsia="Calibri" w:hAnsi="Segoe UI" w:cs="Segoe UI"/>
                <w:sz w:val="20"/>
                <w:szCs w:val="20"/>
              </w:rPr>
            </w:pPr>
            <w:r w:rsidRPr="00BB4D81">
              <w:rPr>
                <w:rFonts w:ascii="Segoe UI" w:eastAsia="Calibri" w:hAnsi="Segoe UI" w:cs="Segoe UI"/>
                <w:sz w:val="20"/>
                <w:szCs w:val="20"/>
              </w:rPr>
              <w:t xml:space="preserve">3.5. Monitoring of competences, training and exchange of experience </w:t>
            </w:r>
          </w:p>
          <w:p w14:paraId="3BA0489D" w14:textId="5C32DE02" w:rsidR="005A748B" w:rsidRPr="00BB4D81" w:rsidRDefault="005A748B" w:rsidP="00FF0F26">
            <w:pPr>
              <w:spacing w:line="360" w:lineRule="auto"/>
              <w:jc w:val="both"/>
              <w:rPr>
                <w:rFonts w:ascii="Segoe UI" w:eastAsia="Calibri" w:hAnsi="Segoe UI" w:cs="Segoe UI"/>
                <w:sz w:val="20"/>
                <w:szCs w:val="20"/>
              </w:rPr>
            </w:pPr>
            <w:r w:rsidRPr="00BB4D81">
              <w:rPr>
                <w:rFonts w:ascii="Segoe UI" w:eastAsia="Calibri" w:hAnsi="Segoe UI" w:cs="Segoe UI"/>
                <w:sz w:val="20"/>
                <w:szCs w:val="20"/>
              </w:rPr>
              <w:t>3.5.1. The notified body shall establish procedures for the initial evaluation and on-going monitoring of the competence, conformity assessment activities and performance of all internal and external personnel, and subcontractors, involved in conformity assessment activities.</w:t>
            </w:r>
          </w:p>
          <w:p w14:paraId="4937087F" w14:textId="0B9A5AF6" w:rsidR="00FF0F26" w:rsidRPr="00BB4D81" w:rsidRDefault="00FF0F26" w:rsidP="00FF0F26">
            <w:pPr>
              <w:spacing w:line="360" w:lineRule="auto"/>
              <w:jc w:val="both"/>
              <w:rPr>
                <w:rFonts w:ascii="Segoe UI" w:eastAsia="Calibri" w:hAnsi="Segoe UI" w:cs="Segoe UI"/>
                <w:sz w:val="20"/>
                <w:szCs w:val="20"/>
              </w:rPr>
            </w:pPr>
            <w:r w:rsidRPr="00BB4D81">
              <w:rPr>
                <w:rFonts w:ascii="Segoe UI" w:eastAsia="Calibri" w:hAnsi="Segoe UI" w:cs="Segoe UI"/>
                <w:sz w:val="20"/>
                <w:szCs w:val="20"/>
              </w:rPr>
              <w:t xml:space="preserve">3.5.2. Notified bodies shall review at regular intervals, the competence of their personnel, identify training needs and draw up a training plan to maintain the required level of qualification and knowledge of individual personnel. That review shall at a minimum, verify that personnel: </w:t>
            </w:r>
          </w:p>
          <w:p w14:paraId="5F4DCFBE" w14:textId="65A83219" w:rsidR="00FF0F26" w:rsidRPr="00BB4D81" w:rsidRDefault="00FF0F26" w:rsidP="00324670">
            <w:pPr>
              <w:numPr>
                <w:ilvl w:val="0"/>
                <w:numId w:val="43"/>
              </w:numPr>
              <w:spacing w:line="360"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take part in the internal exchange of experience and the continuous training and education programme referred to in Section 3.1.2. </w:t>
            </w:r>
          </w:p>
          <w:p w14:paraId="0096DF79" w14:textId="6BB6573E" w:rsidR="005A748B" w:rsidRPr="00BB4D81" w:rsidRDefault="005A748B" w:rsidP="005A748B">
            <w:pPr>
              <w:spacing w:line="360" w:lineRule="auto"/>
              <w:ind w:left="720"/>
              <w:contextualSpacing/>
              <w:jc w:val="both"/>
              <w:rPr>
                <w:rFonts w:ascii="Segoe UI" w:eastAsia="Calibri" w:hAnsi="Segoe UI" w:cs="Segoe UI"/>
                <w:i/>
                <w:sz w:val="20"/>
                <w:szCs w:val="20"/>
              </w:rPr>
            </w:pPr>
            <w:r w:rsidRPr="00BB4D81">
              <w:rPr>
                <w:rFonts w:ascii="Segoe UI" w:eastAsia="Calibri" w:hAnsi="Segoe UI" w:cs="Segoe UI"/>
                <w:i/>
                <w:sz w:val="20"/>
                <w:szCs w:val="20"/>
              </w:rPr>
              <w:t>Article 106</w:t>
            </w:r>
          </w:p>
          <w:p w14:paraId="4727A389" w14:textId="5CBEFCC5" w:rsidR="00FF0F26" w:rsidRPr="00BB4D81" w:rsidRDefault="00FF0F26" w:rsidP="00A01F03">
            <w:pPr>
              <w:numPr>
                <w:ilvl w:val="0"/>
                <w:numId w:val="23"/>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Expert panels and expert laboratories may be designated in areas where the Commission, in consultation with the </w:t>
            </w:r>
            <w:r w:rsidR="006D2E09">
              <w:rPr>
                <w:rFonts w:ascii="Segoe UI" w:eastAsia="Calibri" w:hAnsi="Segoe UI" w:cs="Segoe UI"/>
                <w:sz w:val="20"/>
                <w:szCs w:val="20"/>
              </w:rPr>
              <w:t>medical device co-ordination group (</w:t>
            </w:r>
            <w:r w:rsidRPr="00BB4D81">
              <w:rPr>
                <w:rFonts w:ascii="Segoe UI" w:eastAsia="Calibri" w:hAnsi="Segoe UI" w:cs="Segoe UI"/>
                <w:sz w:val="20"/>
                <w:szCs w:val="20"/>
              </w:rPr>
              <w:t>MDCG</w:t>
            </w:r>
            <w:r w:rsidR="006D2E09">
              <w:rPr>
                <w:rFonts w:ascii="Segoe UI" w:eastAsia="Calibri" w:hAnsi="Segoe UI" w:cs="Segoe UI"/>
                <w:sz w:val="20"/>
                <w:szCs w:val="20"/>
              </w:rPr>
              <w:t>)</w:t>
            </w:r>
            <w:r w:rsidRPr="00BB4D81">
              <w:rPr>
                <w:rFonts w:ascii="Segoe UI" w:eastAsia="Calibri" w:hAnsi="Segoe UI" w:cs="Segoe UI"/>
                <w:sz w:val="20"/>
                <w:szCs w:val="20"/>
              </w:rPr>
              <w:t xml:space="preserve">, has identified a need for the provision of consistent scientific, technical and/or clinical advice or laboratory expertise in relation to the implementation of this Regulation. Expert panels and expert laboratories may be appointed on a standing or temporary basis. </w:t>
            </w:r>
          </w:p>
          <w:p w14:paraId="56B98DBE" w14:textId="1B525120" w:rsidR="00FF0F26" w:rsidRPr="00BB4D81" w:rsidRDefault="00FF0F26" w:rsidP="00FF0F26">
            <w:pPr>
              <w:ind w:left="720"/>
              <w:contextualSpacing/>
              <w:jc w:val="both"/>
              <w:rPr>
                <w:rFonts w:ascii="Segoe UI" w:eastAsia="Calibri" w:hAnsi="Segoe UI" w:cs="Segoe UI"/>
                <w:sz w:val="20"/>
                <w:szCs w:val="20"/>
              </w:rPr>
            </w:pPr>
          </w:p>
          <w:p w14:paraId="277F9D19" w14:textId="0A337902" w:rsidR="00FF0F26" w:rsidRPr="00BB4D81" w:rsidRDefault="00FF0F26" w:rsidP="005A748B">
            <w:pPr>
              <w:numPr>
                <w:ilvl w:val="0"/>
                <w:numId w:val="23"/>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Expert panels shall consist of advisors appointed by the Commission on the basis of up-to-date clinical, scientific or technical expertise in the field and with a geographical distribution that reflects the diversity of scientific and clinical approaches in the Union. </w:t>
            </w:r>
          </w:p>
          <w:p w14:paraId="34843859" w14:textId="77777777" w:rsidR="00F52D0F" w:rsidRPr="00BB4D81" w:rsidRDefault="00F52D0F" w:rsidP="005A748B">
            <w:pPr>
              <w:spacing w:line="259" w:lineRule="auto"/>
              <w:ind w:left="720"/>
              <w:contextualSpacing/>
              <w:jc w:val="both"/>
              <w:rPr>
                <w:rFonts w:ascii="Segoe UI" w:eastAsia="Calibri" w:hAnsi="Segoe UI" w:cs="Segoe UI"/>
                <w:sz w:val="20"/>
                <w:szCs w:val="20"/>
              </w:rPr>
            </w:pPr>
          </w:p>
          <w:p w14:paraId="1E6D4ABA" w14:textId="77777777" w:rsidR="00F52D0F" w:rsidRPr="00BB4D81" w:rsidRDefault="00F52D0F" w:rsidP="00F52D0F">
            <w:p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10.        </w:t>
            </w:r>
            <w:r w:rsidR="00FF0F26" w:rsidRPr="00BB4D81">
              <w:rPr>
                <w:rFonts w:ascii="Segoe UI" w:eastAsia="Calibri" w:hAnsi="Segoe UI" w:cs="Segoe UI"/>
                <w:sz w:val="20"/>
                <w:szCs w:val="20"/>
              </w:rPr>
              <w:t xml:space="preserve">Expert panels </w:t>
            </w:r>
            <w:r w:rsidRPr="00BB4D81">
              <w:rPr>
                <w:rFonts w:ascii="Segoe UI" w:eastAsia="Calibri" w:hAnsi="Segoe UI" w:cs="Segoe UI"/>
                <w:sz w:val="20"/>
                <w:szCs w:val="20"/>
              </w:rPr>
              <w:t xml:space="preserve">and expert laboratories </w:t>
            </w:r>
            <w:r w:rsidR="00FF0F26" w:rsidRPr="00BB4D81">
              <w:rPr>
                <w:rFonts w:ascii="Segoe UI" w:eastAsia="Calibri" w:hAnsi="Segoe UI" w:cs="Segoe UI"/>
                <w:sz w:val="20"/>
                <w:szCs w:val="20"/>
              </w:rPr>
              <w:t xml:space="preserve">may have the following tasks, depending on the requisite </w:t>
            </w:r>
            <w:r w:rsidRPr="00BB4D81">
              <w:rPr>
                <w:rFonts w:ascii="Segoe UI" w:eastAsia="Calibri" w:hAnsi="Segoe UI" w:cs="Segoe UI"/>
                <w:sz w:val="20"/>
                <w:szCs w:val="20"/>
              </w:rPr>
              <w:t xml:space="preserve">   </w:t>
            </w:r>
          </w:p>
          <w:p w14:paraId="65BA9136" w14:textId="0CEF6B3B" w:rsidR="00FF0F26" w:rsidRPr="00BB4D81" w:rsidRDefault="00F52D0F" w:rsidP="00F52D0F">
            <w:p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             </w:t>
            </w:r>
            <w:r w:rsidR="00FF0F26" w:rsidRPr="00BB4D81">
              <w:rPr>
                <w:rFonts w:ascii="Segoe UI" w:eastAsia="Calibri" w:hAnsi="Segoe UI" w:cs="Segoe UI"/>
                <w:sz w:val="20"/>
                <w:szCs w:val="20"/>
              </w:rPr>
              <w:t xml:space="preserve">needs: </w:t>
            </w:r>
          </w:p>
          <w:p w14:paraId="4161A93F" w14:textId="77777777" w:rsidR="00FF0F26" w:rsidRPr="00BB4D81" w:rsidRDefault="00FF0F26" w:rsidP="005A748B">
            <w:pPr>
              <w:spacing w:line="259" w:lineRule="auto"/>
              <w:ind w:left="720"/>
              <w:contextualSpacing/>
              <w:jc w:val="both"/>
              <w:rPr>
                <w:rFonts w:ascii="Segoe UI" w:eastAsia="Calibri" w:hAnsi="Segoe UI" w:cs="Segoe UI"/>
                <w:sz w:val="20"/>
                <w:szCs w:val="20"/>
              </w:rPr>
            </w:pPr>
            <w:r w:rsidRPr="00BB4D81">
              <w:rPr>
                <w:rFonts w:ascii="Segoe UI" w:eastAsia="Calibri" w:hAnsi="Segoe UI" w:cs="Segoe UI"/>
                <w:sz w:val="20"/>
                <w:szCs w:val="20"/>
              </w:rPr>
              <w:t xml:space="preserve">to contribute to the development and maintenance of appropriate guidance and CS for: </w:t>
            </w:r>
          </w:p>
          <w:p w14:paraId="5AA6AD8D" w14:textId="77777777" w:rsidR="00FF0F26" w:rsidRPr="00BB4D81" w:rsidRDefault="00FF0F26" w:rsidP="005A748B">
            <w:pPr>
              <w:spacing w:line="259" w:lineRule="auto"/>
              <w:ind w:left="720"/>
              <w:contextualSpacing/>
              <w:jc w:val="both"/>
              <w:rPr>
                <w:rFonts w:ascii="Segoe UI" w:eastAsia="Calibri" w:hAnsi="Segoe UI" w:cs="Segoe UI"/>
                <w:sz w:val="20"/>
                <w:szCs w:val="20"/>
              </w:rPr>
            </w:pPr>
            <w:r w:rsidRPr="00BB4D81">
              <w:rPr>
                <w:rFonts w:ascii="Segoe UI" w:eastAsia="Calibri" w:hAnsi="Segoe UI" w:cs="Segoe UI"/>
                <w:sz w:val="20"/>
                <w:szCs w:val="20"/>
              </w:rPr>
              <w:t xml:space="preserve">clinical investigations, </w:t>
            </w:r>
          </w:p>
          <w:p w14:paraId="475CE7FE" w14:textId="77777777" w:rsidR="00FF0F26" w:rsidRPr="00BB4D81" w:rsidRDefault="00FF0F26" w:rsidP="005A748B">
            <w:pPr>
              <w:spacing w:line="259" w:lineRule="auto"/>
              <w:ind w:left="720"/>
              <w:contextualSpacing/>
              <w:jc w:val="both"/>
              <w:rPr>
                <w:rFonts w:ascii="Segoe UI" w:eastAsia="Calibri" w:hAnsi="Segoe UI" w:cs="Segoe UI"/>
                <w:sz w:val="20"/>
                <w:szCs w:val="20"/>
              </w:rPr>
            </w:pPr>
            <w:r w:rsidRPr="00BB4D81">
              <w:rPr>
                <w:rFonts w:ascii="Segoe UI" w:eastAsia="Calibri" w:hAnsi="Segoe UI" w:cs="Segoe UI"/>
                <w:sz w:val="20"/>
                <w:szCs w:val="20"/>
              </w:rPr>
              <w:t xml:space="preserve">clinical evaluation and PMCF, </w:t>
            </w:r>
          </w:p>
          <w:p w14:paraId="523CD915" w14:textId="77777777" w:rsidR="00FF0F26" w:rsidRPr="00BB4D81" w:rsidRDefault="00FF0F26" w:rsidP="005A748B">
            <w:pPr>
              <w:spacing w:line="259" w:lineRule="auto"/>
              <w:ind w:left="720"/>
              <w:contextualSpacing/>
              <w:jc w:val="both"/>
              <w:rPr>
                <w:rFonts w:ascii="Segoe UI" w:eastAsia="Calibri" w:hAnsi="Segoe UI" w:cs="Segoe UI"/>
                <w:sz w:val="20"/>
                <w:szCs w:val="20"/>
              </w:rPr>
            </w:pPr>
            <w:r w:rsidRPr="00BB4D81">
              <w:rPr>
                <w:rFonts w:ascii="Segoe UI" w:eastAsia="Calibri" w:hAnsi="Segoe UI" w:cs="Segoe UI"/>
                <w:sz w:val="20"/>
                <w:szCs w:val="20"/>
              </w:rPr>
              <w:t xml:space="preserve">performance studies, </w:t>
            </w:r>
          </w:p>
          <w:p w14:paraId="0360E45B" w14:textId="77777777" w:rsidR="00FF0F26" w:rsidRPr="00BB4D81" w:rsidRDefault="00FF0F26" w:rsidP="005A748B">
            <w:pPr>
              <w:spacing w:line="259" w:lineRule="auto"/>
              <w:ind w:left="720"/>
              <w:contextualSpacing/>
              <w:jc w:val="both"/>
              <w:rPr>
                <w:rFonts w:ascii="Segoe UI" w:eastAsia="Calibri" w:hAnsi="Segoe UI" w:cs="Segoe UI"/>
                <w:sz w:val="20"/>
                <w:szCs w:val="20"/>
              </w:rPr>
            </w:pPr>
            <w:r w:rsidRPr="00BB4D81">
              <w:rPr>
                <w:rFonts w:ascii="Segoe UI" w:eastAsia="Calibri" w:hAnsi="Segoe UI" w:cs="Segoe UI"/>
                <w:sz w:val="20"/>
                <w:szCs w:val="20"/>
              </w:rPr>
              <w:t xml:space="preserve">performance evaluation and post-market performance follow-up, </w:t>
            </w:r>
          </w:p>
          <w:p w14:paraId="083933A1" w14:textId="73361713" w:rsidR="00FF0F26" w:rsidRPr="00BB4D81" w:rsidRDefault="00FF0F26" w:rsidP="005A748B">
            <w:pPr>
              <w:spacing w:line="259" w:lineRule="auto"/>
              <w:ind w:left="720"/>
              <w:contextualSpacing/>
              <w:jc w:val="both"/>
              <w:rPr>
                <w:rFonts w:ascii="Segoe UI" w:eastAsia="Calibri" w:hAnsi="Segoe UI" w:cs="Segoe UI"/>
                <w:sz w:val="20"/>
                <w:szCs w:val="20"/>
              </w:rPr>
            </w:pPr>
            <w:r w:rsidRPr="00BB4D81">
              <w:rPr>
                <w:rFonts w:ascii="Segoe UI" w:eastAsia="Calibri" w:hAnsi="Segoe UI" w:cs="Segoe UI"/>
                <w:sz w:val="20"/>
                <w:szCs w:val="20"/>
              </w:rPr>
              <w:t>physico-chemical characterisation, and microbiological, biocompatibility, mechanical, electrical, electronic or non-clinical toxicological testing’</w:t>
            </w:r>
          </w:p>
        </w:tc>
      </w:tr>
    </w:tbl>
    <w:p w14:paraId="637A4B35" w14:textId="53ADB49B" w:rsidR="00FF0F26" w:rsidRPr="00BB4D81" w:rsidRDefault="00F52D0F" w:rsidP="00F52D0F">
      <w:pPr>
        <w:jc w:val="both"/>
        <w:rPr>
          <w:rFonts w:ascii="Segoe UI" w:eastAsia="Calibri" w:hAnsi="Segoe UI" w:cs="Segoe UI"/>
          <w:sz w:val="20"/>
          <w:szCs w:val="20"/>
        </w:rPr>
      </w:pPr>
      <w:r w:rsidRPr="00BB4D81">
        <w:rPr>
          <w:rFonts w:ascii="Segoe UI" w:eastAsia="Calibri" w:hAnsi="Segoe UI" w:cs="Segoe UI"/>
          <w:sz w:val="20"/>
          <w:szCs w:val="20"/>
        </w:rPr>
        <w:t xml:space="preserve">Table </w:t>
      </w:r>
      <w:r w:rsidR="00EB4F53">
        <w:rPr>
          <w:rFonts w:ascii="Segoe UI" w:eastAsia="Calibri" w:hAnsi="Segoe UI" w:cs="Segoe UI"/>
          <w:sz w:val="20"/>
          <w:szCs w:val="20"/>
        </w:rPr>
        <w:t>13</w:t>
      </w:r>
      <w:r w:rsidRPr="00BB4D81">
        <w:rPr>
          <w:rFonts w:ascii="Segoe UI" w:eastAsia="Calibri" w:hAnsi="Segoe UI" w:cs="Segoe UI"/>
          <w:sz w:val="20"/>
          <w:szCs w:val="20"/>
        </w:rPr>
        <w:t xml:space="preserve">: Medical device Regulation 2017/745 </w:t>
      </w:r>
    </w:p>
    <w:p w14:paraId="4DAF006E" w14:textId="30071027" w:rsidR="00FB6B15" w:rsidRPr="00FE75DF" w:rsidRDefault="00FB6B15" w:rsidP="00FB6B15">
      <w:pPr>
        <w:jc w:val="both"/>
        <w:rPr>
          <w:rFonts w:ascii="Segoe UI" w:eastAsia="Calibri" w:hAnsi="Segoe UI" w:cs="Segoe UI"/>
          <w:sz w:val="20"/>
          <w:szCs w:val="20"/>
        </w:rPr>
      </w:pPr>
      <w:r w:rsidRPr="00FE75DF">
        <w:rPr>
          <w:rFonts w:ascii="Segoe UI" w:eastAsia="Calibri" w:hAnsi="Segoe UI" w:cs="Segoe UI"/>
          <w:sz w:val="20"/>
          <w:szCs w:val="20"/>
        </w:rPr>
        <w:t>Biologics Working Group (BWP)</w:t>
      </w:r>
    </w:p>
    <w:p w14:paraId="03C0E9A7" w14:textId="77777777" w:rsidR="00FB6B15" w:rsidRPr="00BB4D81" w:rsidRDefault="00FB6B15" w:rsidP="00FB6B15">
      <w:pPr>
        <w:autoSpaceDE w:val="0"/>
        <w:autoSpaceDN w:val="0"/>
        <w:adjustRightInd w:val="0"/>
        <w:spacing w:after="0" w:line="240" w:lineRule="auto"/>
        <w:rPr>
          <w:rFonts w:ascii="Segoe UI" w:eastAsia="Calibri" w:hAnsi="Segoe UI" w:cs="Segoe UI"/>
          <w:sz w:val="20"/>
          <w:szCs w:val="20"/>
        </w:rPr>
      </w:pPr>
      <w:r w:rsidRPr="00BB4D81">
        <w:rPr>
          <w:rFonts w:ascii="Segoe UI" w:eastAsia="Calibri" w:hAnsi="Segoe UI" w:cs="Segoe UI"/>
          <w:sz w:val="20"/>
          <w:szCs w:val="20"/>
        </w:rPr>
        <w:t>The BWP provides on request of the CHMP a forum for discussion and harmonisation amongst quality and other experts to maintain and reinforce a uniform approach to the understanding of biotechnology and biological issues and to avoid/eliminate divergences in assessing biotechnology problems and interpreting biotechnology guidelines. The forum of the BWP should facilitate the efficient use of European expertise in the development and maintenance of the scientific review of applications for marketing authorisations for biotechnology or biological derived medicinal products including those from emerging technologies and therapies.</w:t>
      </w:r>
    </w:p>
    <w:p w14:paraId="1AD06584" w14:textId="77777777" w:rsidR="00FB6B15" w:rsidRPr="00BB4D81" w:rsidRDefault="00FB6B15" w:rsidP="00FB6B15">
      <w:pPr>
        <w:autoSpaceDE w:val="0"/>
        <w:autoSpaceDN w:val="0"/>
        <w:adjustRightInd w:val="0"/>
        <w:spacing w:after="0" w:line="240" w:lineRule="auto"/>
        <w:rPr>
          <w:rFonts w:ascii="Segoe UI" w:eastAsia="Calibri" w:hAnsi="Segoe UI" w:cs="Segoe UI"/>
          <w:sz w:val="20"/>
          <w:szCs w:val="20"/>
        </w:rPr>
      </w:pPr>
    </w:p>
    <w:p w14:paraId="47D3351F" w14:textId="1EB9CBAF" w:rsidR="00FB6B15" w:rsidRPr="00BB4D81" w:rsidRDefault="001A57F7" w:rsidP="00FB6B15">
      <w:pPr>
        <w:autoSpaceDE w:val="0"/>
        <w:autoSpaceDN w:val="0"/>
        <w:adjustRightInd w:val="0"/>
        <w:spacing w:after="0" w:line="240" w:lineRule="auto"/>
        <w:rPr>
          <w:rFonts w:ascii="Segoe UI" w:eastAsia="Calibri" w:hAnsi="Segoe UI" w:cs="Segoe UI"/>
          <w:sz w:val="20"/>
          <w:szCs w:val="20"/>
        </w:rPr>
      </w:pPr>
      <w:r>
        <w:rPr>
          <w:rFonts w:ascii="Segoe UI" w:eastAsia="Calibri" w:hAnsi="Segoe UI" w:cs="Segoe UI"/>
          <w:sz w:val="20"/>
          <w:szCs w:val="20"/>
        </w:rPr>
        <w:t>The B</w:t>
      </w:r>
      <w:r w:rsidR="00FB6B15" w:rsidRPr="00BB4D81">
        <w:rPr>
          <w:rFonts w:ascii="Segoe UI" w:eastAsia="Calibri" w:hAnsi="Segoe UI" w:cs="Segoe UI"/>
          <w:sz w:val="20"/>
          <w:szCs w:val="20"/>
        </w:rPr>
        <w:t>WP is therefore established to provide recommendations to the Committee(s) on all matters relating directly or indirectly to quality aspects and safety in relation to quality of biological and biotechnological medicinal products and to perform the tasks as per the following mandate.</w:t>
      </w:r>
    </w:p>
    <w:p w14:paraId="0CA9BAA2" w14:textId="77777777" w:rsidR="00FB6B15" w:rsidRPr="00BB4D81" w:rsidRDefault="00FB6B15" w:rsidP="00FB6B15">
      <w:pPr>
        <w:autoSpaceDE w:val="0"/>
        <w:autoSpaceDN w:val="0"/>
        <w:adjustRightInd w:val="0"/>
        <w:spacing w:after="0" w:line="240" w:lineRule="auto"/>
        <w:rPr>
          <w:rFonts w:ascii="Segoe UI" w:eastAsia="Calibri" w:hAnsi="Segoe UI" w:cs="Segoe UI"/>
          <w:sz w:val="20"/>
          <w:szCs w:val="20"/>
        </w:rPr>
      </w:pPr>
    </w:p>
    <w:p w14:paraId="6669A08E" w14:textId="77777777" w:rsidR="00FB6B15" w:rsidRPr="00BB4D81" w:rsidRDefault="00FB6B15" w:rsidP="00FB6B15">
      <w:p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Mandate:</w:t>
      </w:r>
    </w:p>
    <w:p w14:paraId="7D416144" w14:textId="77777777" w:rsidR="00FB6B15" w:rsidRPr="00BB4D81" w:rsidRDefault="00FB6B15" w:rsidP="00324670">
      <w:pPr>
        <w:numPr>
          <w:ilvl w:val="0"/>
          <w:numId w:val="46"/>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The BWP, based on the evaluation and conclusions from the rapporteur and co-rapporteur, will support the CHMP to maintain consistent evaluation of the pharmaceutical dossier of biotechnological and biological medicinal products. The BWP contribution to dossier evaluation should facilitate consistency in assessments, and thereby in the coherence of the CHMP opinion. </w:t>
      </w:r>
    </w:p>
    <w:p w14:paraId="503D6D4E" w14:textId="77777777" w:rsidR="00FB6B15" w:rsidRPr="00BB4D81" w:rsidRDefault="00FB6B15" w:rsidP="00FB6B15">
      <w:pPr>
        <w:autoSpaceDE w:val="0"/>
        <w:autoSpaceDN w:val="0"/>
        <w:adjustRightInd w:val="0"/>
        <w:spacing w:after="0" w:line="240" w:lineRule="auto"/>
        <w:jc w:val="both"/>
        <w:rPr>
          <w:rFonts w:ascii="Segoe UI" w:eastAsia="Calibri" w:hAnsi="Segoe UI" w:cs="Segoe UI"/>
          <w:sz w:val="20"/>
          <w:szCs w:val="20"/>
        </w:rPr>
      </w:pPr>
    </w:p>
    <w:p w14:paraId="5F973010" w14:textId="2C42835A" w:rsidR="00FB6B15" w:rsidRPr="00BB4D81" w:rsidRDefault="00FB6B15" w:rsidP="00324670">
      <w:pPr>
        <w:numPr>
          <w:ilvl w:val="0"/>
          <w:numId w:val="45"/>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At the request of the CHMP, provision of scientific advice on general and product-specific matters related to quality aspects of biological and biotechnological medicinal products. The BWP shall provide reports to </w:t>
      </w:r>
      <w:r w:rsidR="00B14BAD">
        <w:rPr>
          <w:rFonts w:ascii="Segoe UI" w:eastAsia="Calibri" w:hAnsi="Segoe UI" w:cs="Segoe UI"/>
          <w:sz w:val="20"/>
          <w:szCs w:val="20"/>
        </w:rPr>
        <w:t>scientific advice working party (</w:t>
      </w:r>
      <w:r w:rsidRPr="00BB4D81">
        <w:rPr>
          <w:rFonts w:ascii="Segoe UI" w:eastAsia="Calibri" w:hAnsi="Segoe UI" w:cs="Segoe UI"/>
          <w:sz w:val="20"/>
          <w:szCs w:val="20"/>
        </w:rPr>
        <w:t>SAWP</w:t>
      </w:r>
      <w:r w:rsidR="00B14BAD">
        <w:rPr>
          <w:rFonts w:ascii="Segoe UI" w:eastAsia="Calibri" w:hAnsi="Segoe UI" w:cs="Segoe UI"/>
          <w:sz w:val="20"/>
          <w:szCs w:val="20"/>
        </w:rPr>
        <w:t>).</w:t>
      </w:r>
      <w:r w:rsidRPr="00BB4D81">
        <w:rPr>
          <w:rFonts w:ascii="Segoe UI" w:eastAsia="Calibri" w:hAnsi="Segoe UI" w:cs="Segoe UI"/>
          <w:sz w:val="20"/>
          <w:szCs w:val="20"/>
        </w:rPr>
        <w:t xml:space="preserve"> </w:t>
      </w:r>
    </w:p>
    <w:p w14:paraId="461BB0C7" w14:textId="77777777" w:rsidR="00FB6B15" w:rsidRPr="00BB4D81" w:rsidRDefault="00FB6B15" w:rsidP="00FB6B15">
      <w:pPr>
        <w:autoSpaceDE w:val="0"/>
        <w:autoSpaceDN w:val="0"/>
        <w:adjustRightInd w:val="0"/>
        <w:spacing w:after="0" w:line="240" w:lineRule="auto"/>
        <w:jc w:val="both"/>
        <w:rPr>
          <w:rFonts w:ascii="Segoe UI" w:eastAsia="Calibri" w:hAnsi="Segoe UI" w:cs="Segoe UI"/>
          <w:sz w:val="20"/>
          <w:szCs w:val="20"/>
        </w:rPr>
      </w:pPr>
    </w:p>
    <w:p w14:paraId="2F598967"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Preparation, review and update of guidelines in conjunction with other appropriate working parties. </w:t>
      </w:r>
    </w:p>
    <w:p w14:paraId="18F8F65C" w14:textId="49F672D4"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Liaison with interested parties (pharmaceutical industry associations such as EFPIA-EBE, Vaccines Europe, Medicines for Europe, Europa-Bio, AESGP,  PPTA etc., learned society, public health-care professional organisations, patient organisations, etc. See point 6.9.). </w:t>
      </w:r>
    </w:p>
    <w:p w14:paraId="220FD4E8"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International cooperation on quality aspects and safety aspects related to quality of biological and biotechnological medicinal products related matters, in conjunction with other relevant working parties. </w:t>
      </w:r>
    </w:p>
    <w:p w14:paraId="54678592"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Provide CHMP with a contribution to ICH on quality and safety aspects related to the quality of biological and biotechnological medicinal products. </w:t>
      </w:r>
    </w:p>
    <w:p w14:paraId="227C2235"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Contribution to CHMP scientific opinions in the context of collaboration with WHO for the evaluation of medicinal products intended exclusively for markets outside the community for quality and safety aspects related to the quality of biological and biotechnological medicinal products. </w:t>
      </w:r>
    </w:p>
    <w:p w14:paraId="0F3921E0" w14:textId="13ABA4B2" w:rsidR="00FB6B15" w:rsidRPr="00BB4D81" w:rsidRDefault="005A748B"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Setting up of drafting groups </w:t>
      </w:r>
      <w:r w:rsidR="00FB6B15" w:rsidRPr="00BB4D81">
        <w:rPr>
          <w:rFonts w:ascii="Segoe UI" w:eastAsia="Calibri" w:hAnsi="Segoe UI" w:cs="Segoe UI"/>
          <w:sz w:val="20"/>
          <w:szCs w:val="20"/>
        </w:rPr>
        <w:t xml:space="preserve"> </w:t>
      </w:r>
    </w:p>
    <w:p w14:paraId="1DD540F4"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Liaison with other working parties and ad-hoc GMP inspection services meetings on quality and safety aspects related to the quality of biological and biotechnological medicinal products. </w:t>
      </w:r>
    </w:p>
    <w:p w14:paraId="19299B6C"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Advise as appropriate on other applications of biological/biotechnological methods in relation to medicinal products and their use. </w:t>
      </w:r>
    </w:p>
    <w:p w14:paraId="6C3C3C59"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Advice, through the CHMP, to the European Commission on quality aspects of biological and biotechnological medicinal product-related matters in relation to medicinal products.</w:t>
      </w:r>
    </w:p>
    <w:p w14:paraId="5DE4126C"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On request, advice, through the CHMP, to other Committees and working parties/working groups on quality aspects of biological and biotechnological medical product related matters in relation to medicinal products</w:t>
      </w:r>
    </w:p>
    <w:p w14:paraId="11A3AF40"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Focus and catalyst for training for quality aspects and safety aspects related to quality of biological and biotechnological medicinal products</w:t>
      </w:r>
    </w:p>
    <w:p w14:paraId="4F86E0F2"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Interaction with the European Directorate of the Quality of Medicines (EDQM) particularly in relation to European Pharmacopoeia activities, biological standardisation and the Official Medicines Control Laboratory network activities.</w:t>
      </w:r>
    </w:p>
    <w:p w14:paraId="047094AF" w14:textId="77777777" w:rsidR="00FB6B15" w:rsidRPr="00BB4D81" w:rsidRDefault="00FB6B1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BB4D81">
        <w:rPr>
          <w:rFonts w:ascii="Segoe UI" w:eastAsia="Calibri" w:hAnsi="Segoe UI" w:cs="Segoe UI"/>
          <w:sz w:val="20"/>
          <w:szCs w:val="20"/>
        </w:rPr>
        <w:t>constitute a rapid-acting crisis group to take on board specific issues related to the quality and safety aspects of biological/biotechnological medicinal products with the objective of exchanging information on a European level and to co-ordinate responses to the public in a timely manner</w:t>
      </w:r>
    </w:p>
    <w:p w14:paraId="63C82CDB" w14:textId="20E6B4C0" w:rsidR="00F962F0" w:rsidRDefault="00F962F0" w:rsidP="00F962F0">
      <w:pPr>
        <w:autoSpaceDE w:val="0"/>
        <w:autoSpaceDN w:val="0"/>
        <w:adjustRightInd w:val="0"/>
        <w:spacing w:after="212" w:line="240" w:lineRule="auto"/>
        <w:ind w:left="360"/>
        <w:jc w:val="both"/>
        <w:rPr>
          <w:rFonts w:ascii="Segoe UI" w:eastAsia="Calibri" w:hAnsi="Segoe UI" w:cs="Segoe UI"/>
          <w:sz w:val="20"/>
          <w:szCs w:val="20"/>
        </w:rPr>
      </w:pPr>
      <w:r>
        <w:rPr>
          <w:rFonts w:ascii="Segoe UI" w:eastAsia="Calibri" w:hAnsi="Segoe UI" w:cs="Segoe UI"/>
          <w:sz w:val="20"/>
          <w:szCs w:val="20"/>
        </w:rPr>
        <w:t>JPAC has a number of advisory committees, including, the Standing Advisory Committee on Blood Components (SACBC), this committee:</w:t>
      </w:r>
    </w:p>
    <w:p w14:paraId="7133B2AE" w14:textId="5375A858" w:rsidR="00F12D70" w:rsidRPr="00F962F0" w:rsidRDefault="002154D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F962F0">
        <w:rPr>
          <w:rFonts w:ascii="Segoe UI" w:eastAsia="Calibri" w:hAnsi="Segoe UI" w:cs="Segoe UI"/>
          <w:sz w:val="20"/>
          <w:szCs w:val="20"/>
        </w:rPr>
        <w:t>Set specifications for blood components, evidence-based where possible</w:t>
      </w:r>
    </w:p>
    <w:p w14:paraId="675AAA4E" w14:textId="77777777" w:rsidR="00F12D70" w:rsidRPr="00F962F0" w:rsidRDefault="002154D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F962F0">
        <w:rPr>
          <w:rFonts w:ascii="Segoe UI" w:eastAsia="Calibri" w:hAnsi="Segoe UI" w:cs="Segoe UI"/>
          <w:sz w:val="20"/>
          <w:szCs w:val="20"/>
        </w:rPr>
        <w:t>Develop and review validation of novel blood components</w:t>
      </w:r>
    </w:p>
    <w:p w14:paraId="1C445E29" w14:textId="77777777" w:rsidR="00F12D70" w:rsidRPr="00F962F0" w:rsidRDefault="002154D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F962F0">
        <w:rPr>
          <w:rFonts w:ascii="Segoe UI" w:eastAsia="Calibri" w:hAnsi="Segoe UI" w:cs="Segoe UI"/>
          <w:sz w:val="20"/>
          <w:szCs w:val="20"/>
        </w:rPr>
        <w:t>Assess acceptability for use of novel blood components</w:t>
      </w:r>
    </w:p>
    <w:p w14:paraId="05DD0CFC" w14:textId="77777777" w:rsidR="00F12D70" w:rsidRPr="00F962F0" w:rsidRDefault="002154D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F962F0">
        <w:rPr>
          <w:rFonts w:ascii="Segoe UI" w:eastAsia="Calibri" w:hAnsi="Segoe UI" w:cs="Segoe UI"/>
          <w:sz w:val="20"/>
          <w:szCs w:val="20"/>
        </w:rPr>
        <w:t>Assess and set requirements for storage and transport systems for blood components</w:t>
      </w:r>
    </w:p>
    <w:p w14:paraId="0C47DAF8" w14:textId="00534247" w:rsidR="00F12D70" w:rsidRDefault="002154D5"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F962F0">
        <w:rPr>
          <w:rFonts w:ascii="Segoe UI" w:eastAsia="Calibri" w:hAnsi="Segoe UI" w:cs="Segoe UI"/>
          <w:sz w:val="20"/>
          <w:szCs w:val="20"/>
        </w:rPr>
        <w:t>Co-ordinate with the Standing Advisory Committee on Information Technology regarding labelling and unique identification of blood components and maintenance of the product portfolio (website)</w:t>
      </w:r>
    </w:p>
    <w:p w14:paraId="6219514A" w14:textId="77777777" w:rsidR="00F962F0" w:rsidRPr="00F962F0" w:rsidRDefault="00F962F0"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F962F0">
        <w:rPr>
          <w:rFonts w:ascii="Segoe UI" w:eastAsia="Calibri" w:hAnsi="Segoe UI" w:cs="Segoe UI"/>
          <w:sz w:val="20"/>
          <w:szCs w:val="20"/>
        </w:rPr>
        <w:t>Develop generic protocols for evaluating methods for the collection and processing of blood and blood components</w:t>
      </w:r>
    </w:p>
    <w:p w14:paraId="00507FA2" w14:textId="77777777" w:rsidR="00F962F0" w:rsidRPr="00F962F0" w:rsidRDefault="00F962F0"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F962F0">
        <w:rPr>
          <w:rFonts w:ascii="Segoe UI" w:eastAsia="Calibri" w:hAnsi="Segoe UI" w:cs="Segoe UI"/>
          <w:sz w:val="20"/>
          <w:szCs w:val="20"/>
        </w:rPr>
        <w:t>Contribute content to the JPAC website (background papers and references etc.)</w:t>
      </w:r>
    </w:p>
    <w:p w14:paraId="2B3D0953" w14:textId="77777777" w:rsidR="00F962F0" w:rsidRPr="00F962F0" w:rsidRDefault="00F962F0" w:rsidP="00324670">
      <w:pPr>
        <w:numPr>
          <w:ilvl w:val="0"/>
          <w:numId w:val="44"/>
        </w:numPr>
        <w:autoSpaceDE w:val="0"/>
        <w:autoSpaceDN w:val="0"/>
        <w:adjustRightInd w:val="0"/>
        <w:spacing w:after="212" w:line="240" w:lineRule="auto"/>
        <w:jc w:val="both"/>
        <w:rPr>
          <w:rFonts w:ascii="Segoe UI" w:eastAsia="Calibri" w:hAnsi="Segoe UI" w:cs="Segoe UI"/>
          <w:sz w:val="20"/>
          <w:szCs w:val="20"/>
        </w:rPr>
      </w:pPr>
      <w:r w:rsidRPr="00F962F0">
        <w:rPr>
          <w:rFonts w:ascii="Segoe UI" w:eastAsia="Calibri" w:hAnsi="Segoe UI" w:cs="Segoe UI"/>
          <w:sz w:val="20"/>
          <w:szCs w:val="20"/>
        </w:rPr>
        <w:t>Co-ordinate with other SACs and, other relevant UK Working Groups, as appropriate   </w:t>
      </w:r>
    </w:p>
    <w:p w14:paraId="68769BB5" w14:textId="77777777" w:rsidR="00FB6B15" w:rsidRPr="00BB4D81" w:rsidRDefault="00FB6B15" w:rsidP="008F1340">
      <w:pPr>
        <w:jc w:val="both"/>
        <w:rPr>
          <w:rFonts w:ascii="Segoe UI" w:eastAsia="Calibri" w:hAnsi="Segoe UI" w:cs="Segoe UI"/>
          <w:b/>
          <w:sz w:val="20"/>
          <w:szCs w:val="20"/>
        </w:rPr>
      </w:pPr>
    </w:p>
    <w:p w14:paraId="029931FD" w14:textId="7EACDB6E" w:rsidR="008F1340" w:rsidRPr="007857CF" w:rsidRDefault="00FB6B15" w:rsidP="008F1340">
      <w:pPr>
        <w:jc w:val="both"/>
        <w:rPr>
          <w:rFonts w:ascii="Segoe UI" w:eastAsia="Calibri" w:hAnsi="Segoe UI" w:cs="Segoe UI"/>
          <w:b/>
          <w:sz w:val="20"/>
          <w:szCs w:val="20"/>
        </w:rPr>
      </w:pPr>
      <w:r w:rsidRPr="007857CF">
        <w:rPr>
          <w:rFonts w:ascii="Segoe UI" w:eastAsia="Calibri" w:hAnsi="Segoe UI" w:cs="Segoe UI"/>
          <w:b/>
          <w:sz w:val="20"/>
          <w:szCs w:val="20"/>
        </w:rPr>
        <w:t>Framework of CA – Output from Previous European Projects</w:t>
      </w:r>
      <w:r w:rsidR="008F1340" w:rsidRPr="007857CF">
        <w:rPr>
          <w:rFonts w:ascii="Segoe UI" w:eastAsia="Calibri" w:hAnsi="Segoe UI" w:cs="Segoe UI"/>
          <w:b/>
          <w:sz w:val="20"/>
          <w:szCs w:val="20"/>
        </w:rPr>
        <w:t xml:space="preserve"> </w:t>
      </w:r>
    </w:p>
    <w:p w14:paraId="4A1F721A" w14:textId="68971793" w:rsidR="008F1340" w:rsidRPr="00BB4D81" w:rsidRDefault="004557F0" w:rsidP="008F1340">
      <w:pPr>
        <w:jc w:val="both"/>
        <w:rPr>
          <w:rFonts w:ascii="Segoe UI" w:eastAsia="Calibri" w:hAnsi="Segoe UI" w:cs="Segoe UI"/>
          <w:sz w:val="20"/>
          <w:szCs w:val="20"/>
        </w:rPr>
      </w:pPr>
      <w:r w:rsidRPr="00BB4D81">
        <w:rPr>
          <w:rFonts w:ascii="Segoe UI" w:eastAsia="Calibri" w:hAnsi="Segoe UI" w:cs="Segoe UI"/>
          <w:sz w:val="20"/>
          <w:szCs w:val="20"/>
        </w:rPr>
        <w:t xml:space="preserve">The </w:t>
      </w:r>
      <w:r w:rsidR="008F1340" w:rsidRPr="00BB4D81">
        <w:rPr>
          <w:rFonts w:ascii="Segoe UI" w:eastAsia="Calibri" w:hAnsi="Segoe UI" w:cs="Segoe UI"/>
          <w:sz w:val="20"/>
          <w:szCs w:val="20"/>
        </w:rPr>
        <w:t xml:space="preserve">Vistart </w:t>
      </w:r>
      <w:r w:rsidRPr="00BB4D81">
        <w:rPr>
          <w:rFonts w:ascii="Segoe UI" w:eastAsia="Calibri" w:hAnsi="Segoe UI" w:cs="Segoe UI"/>
          <w:sz w:val="20"/>
          <w:szCs w:val="20"/>
        </w:rPr>
        <w:t xml:space="preserve">project </w:t>
      </w:r>
      <w:r w:rsidR="008F1340" w:rsidRPr="00BB4D81">
        <w:rPr>
          <w:rFonts w:ascii="Segoe UI" w:eastAsia="Calibri" w:hAnsi="Segoe UI" w:cs="Segoe UI"/>
          <w:sz w:val="20"/>
          <w:szCs w:val="20"/>
        </w:rPr>
        <w:t xml:space="preserve">doesn’t specify training requirements in relation to ‘assessment’ but does define general training requirements for inspectors. </w:t>
      </w:r>
    </w:p>
    <w:p w14:paraId="33693C52" w14:textId="26F67110" w:rsidR="008F1340" w:rsidRPr="00BB4D81" w:rsidRDefault="005A748B" w:rsidP="005A748B">
      <w:p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A</w:t>
      </w:r>
      <w:r w:rsidR="008F1340" w:rsidRPr="00BB4D81">
        <w:rPr>
          <w:rFonts w:ascii="Segoe UI" w:eastAsia="Calibri" w:hAnsi="Segoe UI" w:cs="Segoe UI"/>
          <w:sz w:val="20"/>
          <w:szCs w:val="20"/>
        </w:rPr>
        <w:t xml:space="preserve"> formal academic qualification in medical, biologi</w:t>
      </w:r>
      <w:r w:rsidRPr="00BB4D81">
        <w:rPr>
          <w:rFonts w:ascii="Segoe UI" w:eastAsia="Calibri" w:hAnsi="Segoe UI" w:cs="Segoe UI"/>
          <w:sz w:val="20"/>
          <w:szCs w:val="20"/>
        </w:rPr>
        <w:t>cal or life science discipline is required.</w:t>
      </w:r>
    </w:p>
    <w:p w14:paraId="673BDD58" w14:textId="77777777" w:rsidR="008F1340" w:rsidRPr="00BB4D81" w:rsidRDefault="008F1340" w:rsidP="008F1340">
      <w:pPr>
        <w:jc w:val="both"/>
        <w:rPr>
          <w:rFonts w:ascii="Segoe UI" w:eastAsia="Calibri" w:hAnsi="Segoe UI" w:cs="Segoe UI"/>
          <w:sz w:val="20"/>
          <w:szCs w:val="20"/>
        </w:rPr>
      </w:pPr>
      <w:r w:rsidRPr="00BB4D81">
        <w:rPr>
          <w:rFonts w:ascii="Segoe UI" w:eastAsia="Calibri" w:hAnsi="Segoe UI" w:cs="Segoe UI"/>
          <w:sz w:val="20"/>
          <w:szCs w:val="20"/>
        </w:rPr>
        <w:t>Selection criteria – practical post graduate experience in relevant areas of operation within blood or tissue establishments / appropriate alternative professional experience e.g. experience in relevant industry, healthcare institution or other regulatory body.</w:t>
      </w:r>
    </w:p>
    <w:p w14:paraId="7EA764B6" w14:textId="77777777" w:rsidR="008F1340" w:rsidRPr="00BB4D81" w:rsidRDefault="008F1340" w:rsidP="008F1340">
      <w:pPr>
        <w:jc w:val="both"/>
        <w:rPr>
          <w:rFonts w:ascii="Segoe UI" w:eastAsia="Calibri" w:hAnsi="Segoe UI" w:cs="Segoe UI"/>
          <w:sz w:val="20"/>
          <w:szCs w:val="20"/>
        </w:rPr>
      </w:pPr>
      <w:r w:rsidRPr="00BB4D81">
        <w:rPr>
          <w:rFonts w:ascii="Segoe UI" w:eastAsia="Calibri" w:hAnsi="Segoe UI" w:cs="Segoe UI"/>
          <w:sz w:val="20"/>
          <w:szCs w:val="20"/>
        </w:rPr>
        <w:t>Inspectors should undertake appropriate training to ensure competence in the skills required for preparing, conducting, reporting, and following up inspections. A programme of ongoing training should be in place to maintain and develop inspection skills</w:t>
      </w:r>
    </w:p>
    <w:p w14:paraId="76CFA1F6" w14:textId="77777777" w:rsidR="008F1340" w:rsidRPr="00BB4D81" w:rsidRDefault="008F1340" w:rsidP="008F1340">
      <w:pPr>
        <w:jc w:val="both"/>
        <w:rPr>
          <w:rFonts w:ascii="Segoe UI" w:eastAsia="Calibri" w:hAnsi="Segoe UI" w:cs="Segoe UI"/>
          <w:sz w:val="20"/>
          <w:szCs w:val="20"/>
        </w:rPr>
      </w:pPr>
      <w:r w:rsidRPr="00BB4D81">
        <w:rPr>
          <w:rFonts w:ascii="Segoe UI" w:eastAsia="Calibri" w:hAnsi="Segoe UI" w:cs="Segoe UI"/>
          <w:sz w:val="20"/>
          <w:szCs w:val="20"/>
        </w:rPr>
        <w:t xml:space="preserve">Inspection methodology training </w:t>
      </w:r>
    </w:p>
    <w:p w14:paraId="16854059" w14:textId="77777777" w:rsidR="008F1340" w:rsidRPr="00BB4D81" w:rsidRDefault="008F1340" w:rsidP="00A01F03">
      <w:pPr>
        <w:numPr>
          <w:ilvl w:val="0"/>
          <w:numId w:val="39"/>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Training on how to prepare for an inspection </w:t>
      </w:r>
    </w:p>
    <w:p w14:paraId="1102520E" w14:textId="77777777" w:rsidR="008F1340" w:rsidRPr="00BB4D81" w:rsidRDefault="008F1340" w:rsidP="00A01F03">
      <w:pPr>
        <w:numPr>
          <w:ilvl w:val="0"/>
          <w:numId w:val="39"/>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 xml:space="preserve">Training on how to conduct an inspection </w:t>
      </w:r>
      <w:r w:rsidRPr="00BB4D81">
        <w:rPr>
          <w:rFonts w:ascii="Segoe UI" w:eastAsia="Calibri" w:hAnsi="Segoe UI" w:cs="Segoe UI"/>
          <w:sz w:val="20"/>
          <w:szCs w:val="20"/>
        </w:rPr>
        <w:tab/>
        <w:t xml:space="preserve"> </w:t>
      </w:r>
      <w:r w:rsidRPr="00BB4D81">
        <w:rPr>
          <w:rFonts w:ascii="Segoe UI" w:eastAsia="Calibri" w:hAnsi="Segoe UI" w:cs="Segoe UI"/>
          <w:sz w:val="20"/>
          <w:szCs w:val="20"/>
        </w:rPr>
        <w:tab/>
      </w:r>
    </w:p>
    <w:p w14:paraId="21128DA6" w14:textId="2A8B6F2A" w:rsidR="008F1340" w:rsidRPr="00BB4D81" w:rsidRDefault="008F1340" w:rsidP="00A01F03">
      <w:pPr>
        <w:numPr>
          <w:ilvl w:val="0"/>
          <w:numId w:val="39"/>
        </w:numPr>
        <w:spacing w:line="259" w:lineRule="auto"/>
        <w:contextualSpacing/>
        <w:jc w:val="both"/>
        <w:rPr>
          <w:rFonts w:ascii="Segoe UI" w:eastAsia="Calibri" w:hAnsi="Segoe UI" w:cs="Segoe UI"/>
          <w:sz w:val="20"/>
          <w:szCs w:val="20"/>
        </w:rPr>
      </w:pPr>
      <w:r w:rsidRPr="00BB4D81">
        <w:rPr>
          <w:rFonts w:ascii="Segoe UI" w:eastAsia="Calibri" w:hAnsi="Segoe UI" w:cs="Segoe UI"/>
          <w:sz w:val="20"/>
          <w:szCs w:val="20"/>
        </w:rPr>
        <w:t>Training  on post inspection activities</w:t>
      </w:r>
    </w:p>
    <w:p w14:paraId="423479E5" w14:textId="77777777" w:rsidR="005A748B" w:rsidRPr="00BB4D81" w:rsidRDefault="005A748B" w:rsidP="00BE42EA">
      <w:pPr>
        <w:spacing w:line="259" w:lineRule="auto"/>
        <w:ind w:left="1080"/>
        <w:contextualSpacing/>
        <w:jc w:val="both"/>
        <w:rPr>
          <w:rFonts w:ascii="Segoe UI" w:eastAsia="Calibri" w:hAnsi="Segoe UI" w:cs="Segoe UI"/>
          <w:sz w:val="20"/>
          <w:szCs w:val="20"/>
        </w:rPr>
      </w:pPr>
    </w:p>
    <w:p w14:paraId="5FD0D35F" w14:textId="768DD60C" w:rsidR="008F1340" w:rsidRPr="00BB4D81" w:rsidRDefault="00A01F03" w:rsidP="008F1340">
      <w:pPr>
        <w:contextualSpacing/>
        <w:jc w:val="both"/>
        <w:rPr>
          <w:rFonts w:ascii="Segoe UI" w:eastAsia="Calibri" w:hAnsi="Segoe UI" w:cs="Segoe UI"/>
          <w:sz w:val="20"/>
          <w:szCs w:val="20"/>
        </w:rPr>
      </w:pPr>
      <w:r w:rsidRPr="00BB4D81">
        <w:rPr>
          <w:rFonts w:ascii="Segoe UI" w:eastAsia="Calibri" w:hAnsi="Segoe UI" w:cs="Segoe UI"/>
          <w:sz w:val="20"/>
          <w:szCs w:val="20"/>
        </w:rPr>
        <w:t>Framework for CA – Multi-Country Workshop</w:t>
      </w:r>
    </w:p>
    <w:p w14:paraId="591515B8" w14:textId="579606FC" w:rsidR="00A01F03" w:rsidRPr="00BB4D81" w:rsidRDefault="00A01F03" w:rsidP="00F52D0F">
      <w:pPr>
        <w:jc w:val="both"/>
        <w:rPr>
          <w:rFonts w:ascii="Segoe UI" w:eastAsia="Calibri" w:hAnsi="Segoe UI" w:cs="Segoe UI"/>
          <w:sz w:val="20"/>
          <w:szCs w:val="20"/>
        </w:rPr>
      </w:pPr>
      <w:r w:rsidRPr="00BB4D81">
        <w:rPr>
          <w:rFonts w:ascii="Segoe UI" w:eastAsia="Calibri" w:hAnsi="Segoe UI" w:cs="Segoe UI"/>
          <w:sz w:val="20"/>
          <w:szCs w:val="20"/>
        </w:rPr>
        <w:t>Discussion from the workshop raised a number of discussion points: does the inspector / assessor require a certain level of experience, training or qualification to be involved with applications for authorisation? Do any CA’s employ assessors / internal experts (independent of inspectors) to review and evaluate applications for authorisation? How are the external panels selected? What are the criteria and level of expertise required? What controls are in place to ensure independence and impartiality? Confidentiality etc.? Opinion on the establishment of a European level panel?</w:t>
      </w:r>
      <w:r w:rsidR="005A748B" w:rsidRPr="00BB4D81">
        <w:rPr>
          <w:rFonts w:ascii="Segoe UI" w:eastAsia="Calibri" w:hAnsi="Segoe UI" w:cs="Segoe UI"/>
          <w:sz w:val="20"/>
          <w:szCs w:val="20"/>
        </w:rPr>
        <w:t xml:space="preserve"> As the assessment of PPAs </w:t>
      </w:r>
      <w:r w:rsidR="00086538" w:rsidRPr="00BB4D81">
        <w:rPr>
          <w:rFonts w:ascii="Segoe UI" w:eastAsia="Calibri" w:hAnsi="Segoe UI" w:cs="Segoe UI"/>
          <w:sz w:val="20"/>
          <w:szCs w:val="20"/>
        </w:rPr>
        <w:t xml:space="preserve">is not routinely performed in CAs these questions need to be considered when drafting the guidelines. </w:t>
      </w:r>
      <w:r w:rsidR="009B0164" w:rsidRPr="00BB4D81">
        <w:rPr>
          <w:rFonts w:ascii="Segoe UI" w:eastAsia="Calibri" w:hAnsi="Segoe UI" w:cs="Segoe UI"/>
          <w:sz w:val="20"/>
          <w:szCs w:val="20"/>
        </w:rPr>
        <w:t xml:space="preserve">The use of external experts will be up to each CA, but confidentiality and impartiality must be considered. </w:t>
      </w:r>
      <w:r w:rsidR="00F52D0F" w:rsidRPr="00BB4D81">
        <w:rPr>
          <w:rFonts w:ascii="Segoe UI" w:eastAsia="Calibri" w:hAnsi="Segoe UI" w:cs="Segoe UI"/>
          <w:sz w:val="20"/>
          <w:szCs w:val="20"/>
        </w:rPr>
        <w:t xml:space="preserve">The use of advisory boards / external experts will be referenced within the guidance document. </w:t>
      </w:r>
      <w:r w:rsidR="00086538" w:rsidRPr="00BB4D81">
        <w:rPr>
          <w:rFonts w:ascii="Segoe UI" w:eastAsia="Calibri" w:hAnsi="Segoe UI" w:cs="Segoe UI"/>
          <w:sz w:val="20"/>
          <w:szCs w:val="20"/>
        </w:rPr>
        <w:t xml:space="preserve">The availability of a European level panel would be welcomed but the sharing of sensitive information may not be appropriate. </w:t>
      </w:r>
      <w:r w:rsidR="0091105A" w:rsidRPr="00BB4D81">
        <w:rPr>
          <w:rFonts w:ascii="Segoe UI" w:eastAsia="Calibri" w:hAnsi="Segoe UI" w:cs="Segoe UI"/>
          <w:sz w:val="20"/>
          <w:szCs w:val="20"/>
        </w:rPr>
        <w:t>The database as an output of WP9 may allow for some information sharing, but this is still unclear.</w:t>
      </w:r>
    </w:p>
    <w:p w14:paraId="2E941361" w14:textId="77777777" w:rsidR="008F1340" w:rsidRPr="00BB4D81" w:rsidRDefault="008F1340" w:rsidP="008F1340">
      <w:pPr>
        <w:jc w:val="both"/>
        <w:rPr>
          <w:rFonts w:ascii="Segoe UI" w:eastAsia="Calibri" w:hAnsi="Segoe UI" w:cs="Segoe UI"/>
          <w:sz w:val="20"/>
          <w:szCs w:val="20"/>
        </w:rPr>
      </w:pPr>
    </w:p>
    <w:p w14:paraId="7942B5C5" w14:textId="3F43448F" w:rsidR="008F1340" w:rsidRPr="007857CF" w:rsidRDefault="00FE75DF" w:rsidP="008F1340">
      <w:pPr>
        <w:pStyle w:val="Heading1"/>
        <w:rPr>
          <w:rFonts w:eastAsia="Times New Roman"/>
          <w:b/>
          <w:lang w:eastAsia="en-US"/>
        </w:rPr>
      </w:pPr>
      <w:bookmarkStart w:id="16" w:name="_Toc48388682"/>
      <w:r>
        <w:rPr>
          <w:rFonts w:eastAsia="Times New Roman"/>
          <w:b/>
          <w:lang w:eastAsia="en-US"/>
        </w:rPr>
        <w:t xml:space="preserve">IV. </w:t>
      </w:r>
      <w:r w:rsidR="008F1340" w:rsidRPr="007857CF">
        <w:rPr>
          <w:rFonts w:eastAsia="Times New Roman"/>
          <w:b/>
          <w:lang w:eastAsia="en-US"/>
        </w:rPr>
        <w:t>Discussion and conclusions</w:t>
      </w:r>
      <w:bookmarkEnd w:id="16"/>
    </w:p>
    <w:p w14:paraId="0F444E1D" w14:textId="77777777" w:rsidR="008F1340" w:rsidRPr="00BB4D81" w:rsidRDefault="008F1340" w:rsidP="008F1340">
      <w:pPr>
        <w:pStyle w:val="Text2"/>
        <w:rPr>
          <w:rFonts w:asciiTheme="majorHAnsi" w:hAnsiTheme="majorHAnsi" w:cstheme="majorHAnsi"/>
          <w:lang w:val="en-IE"/>
        </w:rPr>
      </w:pPr>
    </w:p>
    <w:p w14:paraId="0D1D97D2" w14:textId="2B8C447B" w:rsidR="00A66045" w:rsidRPr="00BB4D81" w:rsidRDefault="001F3F51" w:rsidP="00A66045">
      <w:p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The aim of WP 5 is the d</w:t>
      </w:r>
      <w:r w:rsidR="00A66045" w:rsidRPr="00BB4D81">
        <w:rPr>
          <w:rFonts w:ascii="Segoe UI" w:eastAsia="Calibri" w:hAnsi="Segoe UI" w:cs="Segoe UI"/>
          <w:sz w:val="20"/>
          <w:szCs w:val="20"/>
        </w:rPr>
        <w:t xml:space="preserve">evelopment of general good practice guidelines for PPA – putting a system and </w:t>
      </w:r>
      <w:r w:rsidRPr="00BB4D81">
        <w:rPr>
          <w:rFonts w:ascii="Segoe UI" w:eastAsia="Calibri" w:hAnsi="Segoe UI" w:cs="Segoe UI"/>
          <w:sz w:val="20"/>
          <w:szCs w:val="20"/>
        </w:rPr>
        <w:t>s</w:t>
      </w:r>
      <w:r w:rsidR="00A66045" w:rsidRPr="00BB4D81">
        <w:rPr>
          <w:rFonts w:ascii="Segoe UI" w:eastAsia="Calibri" w:hAnsi="Segoe UI" w:cs="Segoe UI"/>
          <w:sz w:val="20"/>
          <w:szCs w:val="20"/>
        </w:rPr>
        <w:t xml:space="preserve">tandard </w:t>
      </w:r>
      <w:r w:rsidRPr="00BB4D81">
        <w:rPr>
          <w:rFonts w:ascii="Segoe UI" w:eastAsia="Calibri" w:hAnsi="Segoe UI" w:cs="Segoe UI"/>
          <w:sz w:val="20"/>
          <w:szCs w:val="20"/>
        </w:rPr>
        <w:t>o</w:t>
      </w:r>
      <w:r w:rsidR="00A66045" w:rsidRPr="00BB4D81">
        <w:rPr>
          <w:rFonts w:ascii="Segoe UI" w:eastAsia="Calibri" w:hAnsi="Segoe UI" w:cs="Segoe UI"/>
          <w:sz w:val="20"/>
          <w:szCs w:val="20"/>
        </w:rPr>
        <w:t xml:space="preserve">perating </w:t>
      </w:r>
      <w:r w:rsidRPr="00BB4D81">
        <w:rPr>
          <w:rFonts w:ascii="Segoe UI" w:eastAsia="Calibri" w:hAnsi="Segoe UI" w:cs="Segoe UI"/>
          <w:sz w:val="20"/>
          <w:szCs w:val="20"/>
        </w:rPr>
        <w:t>p</w:t>
      </w:r>
      <w:r w:rsidR="00A66045" w:rsidRPr="00BB4D81">
        <w:rPr>
          <w:rFonts w:ascii="Segoe UI" w:eastAsia="Calibri" w:hAnsi="Segoe UI" w:cs="Segoe UI"/>
          <w:sz w:val="20"/>
          <w:szCs w:val="20"/>
        </w:rPr>
        <w:t>rocedures in place at the Member State level, including a methodology to inform blood and tissue establishments (BE</w:t>
      </w:r>
      <w:r w:rsidRPr="00BB4D81">
        <w:rPr>
          <w:rFonts w:ascii="Segoe UI" w:eastAsia="Calibri" w:hAnsi="Segoe UI" w:cs="Segoe UI"/>
          <w:sz w:val="20"/>
          <w:szCs w:val="20"/>
        </w:rPr>
        <w:t>/TE) regarding those procedures.</w:t>
      </w:r>
    </w:p>
    <w:p w14:paraId="4356008C" w14:textId="77777777" w:rsidR="00A66045" w:rsidRPr="00BB4D81" w:rsidRDefault="00A66045" w:rsidP="00A66045">
      <w:pPr>
        <w:autoSpaceDE w:val="0"/>
        <w:autoSpaceDN w:val="0"/>
        <w:adjustRightInd w:val="0"/>
        <w:spacing w:after="0" w:line="240" w:lineRule="auto"/>
        <w:jc w:val="both"/>
        <w:rPr>
          <w:rFonts w:ascii="Segoe UI" w:eastAsia="Calibri" w:hAnsi="Segoe UI" w:cs="Segoe UI"/>
          <w:sz w:val="20"/>
          <w:szCs w:val="20"/>
        </w:rPr>
      </w:pPr>
    </w:p>
    <w:p w14:paraId="555FC99C" w14:textId="77777777" w:rsidR="00A66045" w:rsidRPr="00BB4D81" w:rsidRDefault="00A66045" w:rsidP="00A66045">
      <w:p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The guidelines shall include: </w:t>
      </w:r>
    </w:p>
    <w:p w14:paraId="56C63BD7" w14:textId="77777777" w:rsidR="00A66045" w:rsidRPr="00BB4D81" w:rsidRDefault="00A66045" w:rsidP="00A66045">
      <w:pPr>
        <w:autoSpaceDE w:val="0"/>
        <w:autoSpaceDN w:val="0"/>
        <w:adjustRightInd w:val="0"/>
        <w:spacing w:after="0" w:line="240" w:lineRule="auto"/>
        <w:jc w:val="both"/>
        <w:rPr>
          <w:rFonts w:ascii="Segoe UI" w:eastAsia="Calibri" w:hAnsi="Segoe UI" w:cs="Segoe UI"/>
          <w:sz w:val="20"/>
          <w:szCs w:val="20"/>
        </w:rPr>
      </w:pPr>
    </w:p>
    <w:p w14:paraId="0DF27C9A" w14:textId="7C9C60A4" w:rsidR="00A66045" w:rsidRPr="00BB4D81" w:rsidRDefault="00A66045" w:rsidP="00324670">
      <w:pPr>
        <w:numPr>
          <w:ilvl w:val="0"/>
          <w:numId w:val="50"/>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An overview of the steps from the request submitted by a BE/TE to the release of authorisation by CA; </w:t>
      </w:r>
    </w:p>
    <w:p w14:paraId="2AA2DD17" w14:textId="77777777" w:rsidR="00A66045" w:rsidRPr="00BB4D81" w:rsidRDefault="00A66045" w:rsidP="00324670">
      <w:pPr>
        <w:numPr>
          <w:ilvl w:val="0"/>
          <w:numId w:val="50"/>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Timing of application for PPA;</w:t>
      </w:r>
    </w:p>
    <w:p w14:paraId="45087739" w14:textId="07C66C02" w:rsidR="00A66045" w:rsidRPr="00BB4D81" w:rsidRDefault="00A66045" w:rsidP="00324670">
      <w:pPr>
        <w:numPr>
          <w:ilvl w:val="0"/>
          <w:numId w:val="50"/>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Definition of </w:t>
      </w:r>
      <w:r w:rsidR="0000058B" w:rsidRPr="00BB4D81">
        <w:rPr>
          <w:rFonts w:ascii="Segoe UI" w:eastAsia="Calibri" w:hAnsi="Segoe UI" w:cs="Segoe UI"/>
          <w:sz w:val="20"/>
          <w:szCs w:val="20"/>
        </w:rPr>
        <w:t xml:space="preserve">novelty and </w:t>
      </w:r>
      <w:r w:rsidRPr="00BB4D81">
        <w:rPr>
          <w:rFonts w:ascii="Segoe UI" w:eastAsia="Calibri" w:hAnsi="Segoe UI" w:cs="Segoe UI"/>
          <w:sz w:val="20"/>
          <w:szCs w:val="20"/>
        </w:rPr>
        <w:t xml:space="preserve">significant change in preparation process; </w:t>
      </w:r>
    </w:p>
    <w:p w14:paraId="70D2A490" w14:textId="77777777" w:rsidR="00A66045" w:rsidRPr="00BB4D81" w:rsidRDefault="00A66045" w:rsidP="00324670">
      <w:pPr>
        <w:numPr>
          <w:ilvl w:val="0"/>
          <w:numId w:val="50"/>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Terms for application (also building on the outcomes of VISTART WP6 - manual for inspections);</w:t>
      </w:r>
    </w:p>
    <w:p w14:paraId="0CDFE48C" w14:textId="77777777" w:rsidR="00A66045" w:rsidRPr="00BB4D81" w:rsidRDefault="00A66045" w:rsidP="00324670">
      <w:pPr>
        <w:numPr>
          <w:ilvl w:val="0"/>
          <w:numId w:val="50"/>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 xml:space="preserve">Optimal composition of the assessing team in the CA (members' qualifications, background, use of external experts etc.), definition of inspectors’ involvement; </w:t>
      </w:r>
    </w:p>
    <w:p w14:paraId="044F96CB" w14:textId="77777777" w:rsidR="00A66045" w:rsidRPr="00BB4D81" w:rsidRDefault="00A66045" w:rsidP="00324670">
      <w:pPr>
        <w:numPr>
          <w:ilvl w:val="0"/>
          <w:numId w:val="50"/>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Definition of types of authorisation (e.g. full, conditional, temporary – taking into account the outcomes of VISTART WP5 part B);</w:t>
      </w:r>
    </w:p>
    <w:p w14:paraId="7C58AB9B" w14:textId="77777777" w:rsidR="00A66045" w:rsidRPr="00BB4D81" w:rsidRDefault="00A66045" w:rsidP="00324670">
      <w:pPr>
        <w:numPr>
          <w:ilvl w:val="0"/>
          <w:numId w:val="50"/>
        </w:numPr>
        <w:autoSpaceDE w:val="0"/>
        <w:autoSpaceDN w:val="0"/>
        <w:adjustRightInd w:val="0"/>
        <w:spacing w:after="0" w:line="240" w:lineRule="auto"/>
        <w:jc w:val="both"/>
        <w:rPr>
          <w:rFonts w:ascii="Segoe UI" w:eastAsia="Calibri" w:hAnsi="Segoe UI" w:cs="Segoe UI"/>
          <w:sz w:val="20"/>
          <w:szCs w:val="20"/>
        </w:rPr>
      </w:pPr>
      <w:r w:rsidRPr="00BB4D81">
        <w:rPr>
          <w:rFonts w:ascii="Segoe UI" w:eastAsia="Calibri" w:hAnsi="Segoe UI" w:cs="Segoe UI"/>
          <w:sz w:val="20"/>
          <w:szCs w:val="20"/>
        </w:rPr>
        <w:t>Development of model template forms for PPA;</w:t>
      </w:r>
    </w:p>
    <w:p w14:paraId="1803CFED" w14:textId="77777777" w:rsidR="00534CBB" w:rsidRPr="00BB4D81" w:rsidRDefault="00534CBB">
      <w:pPr>
        <w:rPr>
          <w:lang w:eastAsia="en-US"/>
        </w:rPr>
      </w:pPr>
    </w:p>
    <w:p w14:paraId="252BCF8D" w14:textId="37CC2F4E" w:rsidR="00534CBB" w:rsidRPr="00BB4D81" w:rsidRDefault="00534CBB" w:rsidP="00534CBB">
      <w:pPr>
        <w:jc w:val="both"/>
        <w:rPr>
          <w:rFonts w:ascii="Segoe UI" w:eastAsia="Calibri" w:hAnsi="Segoe UI" w:cs="Segoe UI"/>
          <w:sz w:val="20"/>
          <w:szCs w:val="20"/>
        </w:rPr>
      </w:pPr>
      <w:r w:rsidRPr="00BB4D81">
        <w:rPr>
          <w:rFonts w:ascii="Segoe UI" w:eastAsia="Calibri" w:hAnsi="Segoe UI" w:cs="Segoe UI"/>
          <w:sz w:val="20"/>
          <w:szCs w:val="20"/>
        </w:rPr>
        <w:t>Based on the feedback from the multi-country workshops, review of outputs from previous European projects, GAPP partner review of this report, and further ongoing liaison with the other GAPP work packages, we will finalise a draft outline structure for the PPA Guidelines incorporating the finalised outputs from the technical work packages with regards to:</w:t>
      </w:r>
    </w:p>
    <w:p w14:paraId="1CC61BB5" w14:textId="77777777" w:rsidR="00534CBB" w:rsidRPr="00BB4D81" w:rsidRDefault="00534CBB" w:rsidP="00534CBB">
      <w:pPr>
        <w:numPr>
          <w:ilvl w:val="0"/>
          <w:numId w:val="19"/>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 xml:space="preserve">Authorisation of changes to activities performed by blood and tissue establishments (Work Package 6);  and their definition of Critical Process Parameters and Critical Quality Attributes – Extent of Validation; </w:t>
      </w:r>
    </w:p>
    <w:p w14:paraId="7721AD2B" w14:textId="77777777" w:rsidR="00534CBB" w:rsidRPr="00BB4D81" w:rsidRDefault="00534CBB" w:rsidP="00534CBB">
      <w:pPr>
        <w:numPr>
          <w:ilvl w:val="0"/>
          <w:numId w:val="19"/>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Assessing the quality and safety of donor testing, microbial inactivation and sterilisation steps as part of PPA (Work Package 7);</w:t>
      </w:r>
    </w:p>
    <w:p w14:paraId="61FD3039" w14:textId="77777777" w:rsidR="00534CBB" w:rsidRPr="00BB4D81" w:rsidRDefault="00534CBB" w:rsidP="00534CBB">
      <w:pPr>
        <w:numPr>
          <w:ilvl w:val="0"/>
          <w:numId w:val="19"/>
        </w:numPr>
        <w:spacing w:line="259" w:lineRule="auto"/>
        <w:jc w:val="both"/>
        <w:rPr>
          <w:rFonts w:ascii="Segoe UI" w:eastAsia="Calibri" w:hAnsi="Segoe UI" w:cs="Segoe UI"/>
          <w:sz w:val="20"/>
          <w:szCs w:val="20"/>
        </w:rPr>
      </w:pPr>
      <w:r w:rsidRPr="00BB4D81">
        <w:rPr>
          <w:rFonts w:ascii="Segoe UI" w:eastAsia="Calibri" w:hAnsi="Segoe UI" w:cs="Segoe UI"/>
          <w:sz w:val="20"/>
          <w:szCs w:val="20"/>
        </w:rPr>
        <w:t>Assessing Clinical data as part of PPA (Work Package 8);</w:t>
      </w:r>
    </w:p>
    <w:p w14:paraId="396A36E0" w14:textId="63FE8915" w:rsidR="00A66045" w:rsidRPr="00BB4D81" w:rsidRDefault="00A66045">
      <w:pPr>
        <w:rPr>
          <w:lang w:eastAsia="en-US"/>
        </w:rPr>
      </w:pPr>
    </w:p>
    <w:p w14:paraId="36DDE4B0" w14:textId="0EA004A9" w:rsidR="001F3F51" w:rsidRPr="00BB4D81" w:rsidRDefault="001F3F51">
      <w:pPr>
        <w:rPr>
          <w:lang w:eastAsia="en-US"/>
        </w:rPr>
      </w:pPr>
      <w:r w:rsidRPr="00BB4D81">
        <w:rPr>
          <w:lang w:eastAsia="en-US"/>
        </w:rPr>
        <w:t xml:space="preserve">As indicated within the report, the proposed framework of the guideline can be seen in table </w:t>
      </w:r>
      <w:r w:rsidR="00EB4F53" w:rsidRPr="00BB4D81">
        <w:rPr>
          <w:lang w:eastAsia="en-US"/>
        </w:rPr>
        <w:t>1</w:t>
      </w:r>
      <w:r w:rsidR="00EB4F53">
        <w:rPr>
          <w:lang w:eastAsia="en-US"/>
        </w:rPr>
        <w:t>4</w:t>
      </w:r>
      <w:r w:rsidRPr="00BB4D81">
        <w:rPr>
          <w:lang w:eastAsia="en-US"/>
        </w:rPr>
        <w:t xml:space="preserve">. This proposal has been discussed with </w:t>
      </w:r>
      <w:r w:rsidR="00EA090E">
        <w:rPr>
          <w:lang w:eastAsia="en-US"/>
        </w:rPr>
        <w:t xml:space="preserve">a number </w:t>
      </w:r>
      <w:r w:rsidRPr="00BB4D81">
        <w:rPr>
          <w:lang w:eastAsia="en-US"/>
        </w:rPr>
        <w:t xml:space="preserve">of the other working groups and has been </w:t>
      </w:r>
      <w:r w:rsidR="00EA090E">
        <w:rPr>
          <w:lang w:eastAsia="en-US"/>
        </w:rPr>
        <w:t>accepted</w:t>
      </w:r>
      <w:r w:rsidRPr="00BB4D81">
        <w:rPr>
          <w:lang w:eastAsia="en-US"/>
        </w:rPr>
        <w:t xml:space="preserve"> as an appropriate framework.</w:t>
      </w:r>
    </w:p>
    <w:tbl>
      <w:tblPr>
        <w:tblStyle w:val="TableGrid"/>
        <w:tblW w:w="0" w:type="auto"/>
        <w:tblLook w:val="04A0" w:firstRow="1" w:lastRow="0" w:firstColumn="1" w:lastColumn="0" w:noHBand="0" w:noVBand="1"/>
      </w:tblPr>
      <w:tblGrid>
        <w:gridCol w:w="9016"/>
      </w:tblGrid>
      <w:tr w:rsidR="001F3F51" w:rsidRPr="00BB4D81" w14:paraId="57F5C77D" w14:textId="77777777" w:rsidTr="00D779D6">
        <w:tc>
          <w:tcPr>
            <w:tcW w:w="9016" w:type="dxa"/>
          </w:tcPr>
          <w:p w14:paraId="63F56377"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Part A</w:t>
            </w:r>
          </w:p>
        </w:tc>
      </w:tr>
      <w:tr w:rsidR="001F3F51" w:rsidRPr="00BB4D81" w14:paraId="4D2957F7" w14:textId="77777777" w:rsidTr="00D779D6">
        <w:tc>
          <w:tcPr>
            <w:tcW w:w="9016" w:type="dxa"/>
          </w:tcPr>
          <w:p w14:paraId="0AF2D889"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Risk Assessment</w:t>
            </w:r>
          </w:p>
          <w:p w14:paraId="2169B63F" w14:textId="77777777" w:rsidR="001F3F51" w:rsidRPr="00BB4D81" w:rsidRDefault="001F3F51" w:rsidP="00D779D6">
            <w:pPr>
              <w:pStyle w:val="ListParagraph"/>
              <w:numPr>
                <w:ilvl w:val="0"/>
                <w:numId w:val="20"/>
              </w:numPr>
              <w:jc w:val="both"/>
              <w:rPr>
                <w:rFonts w:ascii="Segoe UI" w:eastAsia="Calibri" w:hAnsi="Segoe UI" w:cs="Segoe UI"/>
                <w:sz w:val="20"/>
                <w:szCs w:val="20"/>
              </w:rPr>
            </w:pPr>
            <w:r w:rsidRPr="00BB4D81">
              <w:rPr>
                <w:rFonts w:ascii="Segoe UI" w:eastAsia="Calibri" w:hAnsi="Segoe UI" w:cs="Segoe UI"/>
                <w:sz w:val="20"/>
                <w:szCs w:val="20"/>
              </w:rPr>
              <w:t xml:space="preserve">Definition of novelty </w:t>
            </w:r>
          </w:p>
          <w:p w14:paraId="6F814462" w14:textId="77777777" w:rsidR="001F3F51" w:rsidRPr="00BB4D81" w:rsidRDefault="001F3F51" w:rsidP="00D779D6">
            <w:pPr>
              <w:pStyle w:val="ListParagraph"/>
              <w:numPr>
                <w:ilvl w:val="0"/>
                <w:numId w:val="20"/>
              </w:numPr>
              <w:jc w:val="both"/>
              <w:rPr>
                <w:rFonts w:ascii="Segoe UI" w:eastAsia="Calibri" w:hAnsi="Segoe UI" w:cs="Segoe UI"/>
                <w:sz w:val="20"/>
                <w:szCs w:val="20"/>
              </w:rPr>
            </w:pPr>
            <w:r w:rsidRPr="00BB4D81">
              <w:rPr>
                <w:rFonts w:ascii="Segoe UI" w:eastAsia="Calibri" w:hAnsi="Segoe UI" w:cs="Segoe UI"/>
                <w:sz w:val="20"/>
                <w:szCs w:val="20"/>
              </w:rPr>
              <w:t>Significant changes</w:t>
            </w:r>
          </w:p>
        </w:tc>
      </w:tr>
      <w:tr w:rsidR="001F3F51" w:rsidRPr="00BB4D81" w14:paraId="674284C3" w14:textId="77777777" w:rsidTr="00D779D6">
        <w:tc>
          <w:tcPr>
            <w:tcW w:w="9016" w:type="dxa"/>
          </w:tcPr>
          <w:p w14:paraId="46207C04"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Part B</w:t>
            </w:r>
          </w:p>
        </w:tc>
      </w:tr>
      <w:tr w:rsidR="001F3F51" w:rsidRPr="00BB4D81" w14:paraId="5D16C963" w14:textId="77777777" w:rsidTr="00D779D6">
        <w:tc>
          <w:tcPr>
            <w:tcW w:w="9016" w:type="dxa"/>
          </w:tcPr>
          <w:p w14:paraId="7DEC0879"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Application Process</w:t>
            </w:r>
          </w:p>
          <w:p w14:paraId="630E0FC7" w14:textId="77777777" w:rsidR="001F3F51" w:rsidRPr="00BB4D81" w:rsidRDefault="001F3F51" w:rsidP="00D779D6">
            <w:pPr>
              <w:pStyle w:val="ListParagraph"/>
              <w:numPr>
                <w:ilvl w:val="0"/>
                <w:numId w:val="21"/>
              </w:numPr>
              <w:jc w:val="both"/>
              <w:rPr>
                <w:rFonts w:ascii="Segoe UI" w:eastAsia="Calibri" w:hAnsi="Segoe UI" w:cs="Segoe UI"/>
                <w:sz w:val="20"/>
                <w:szCs w:val="20"/>
              </w:rPr>
            </w:pPr>
            <w:r w:rsidRPr="00BB4D81">
              <w:rPr>
                <w:rFonts w:ascii="Segoe UI" w:eastAsia="Calibri" w:hAnsi="Segoe UI" w:cs="Segoe UI"/>
                <w:sz w:val="20"/>
                <w:szCs w:val="20"/>
              </w:rPr>
              <w:t>New application</w:t>
            </w:r>
          </w:p>
          <w:p w14:paraId="6BB5A3D7" w14:textId="77777777" w:rsidR="00D1378D" w:rsidRDefault="001F3F51" w:rsidP="00D779D6">
            <w:pPr>
              <w:pStyle w:val="ListParagraph"/>
              <w:jc w:val="both"/>
              <w:rPr>
                <w:rFonts w:ascii="Segoe UI" w:eastAsia="Calibri" w:hAnsi="Segoe UI" w:cs="Segoe UI"/>
                <w:sz w:val="20"/>
                <w:szCs w:val="20"/>
              </w:rPr>
            </w:pPr>
            <w:r w:rsidRPr="00BB4D81">
              <w:rPr>
                <w:rFonts w:ascii="Segoe UI" w:eastAsia="Calibri" w:hAnsi="Segoe UI" w:cs="Segoe UI"/>
                <w:sz w:val="20"/>
                <w:szCs w:val="20"/>
              </w:rPr>
              <w:t xml:space="preserve">Modules 1 -5 </w:t>
            </w:r>
          </w:p>
          <w:p w14:paraId="43404450" w14:textId="51C6873F" w:rsidR="00D1378D" w:rsidRDefault="001F3F51" w:rsidP="00D779D6">
            <w:pPr>
              <w:pStyle w:val="ListParagraph"/>
              <w:jc w:val="both"/>
              <w:rPr>
                <w:rFonts w:ascii="Segoe UI" w:eastAsia="Calibri" w:hAnsi="Segoe UI" w:cs="Segoe UI"/>
                <w:sz w:val="20"/>
                <w:szCs w:val="20"/>
              </w:rPr>
            </w:pPr>
            <w:r w:rsidRPr="00BB4D81">
              <w:rPr>
                <w:rFonts w:ascii="Segoe UI" w:eastAsia="Calibri" w:hAnsi="Segoe UI" w:cs="Segoe UI"/>
                <w:sz w:val="20"/>
                <w:szCs w:val="20"/>
              </w:rPr>
              <w:t>(1:</w:t>
            </w:r>
            <w:r w:rsidR="00091CDE">
              <w:rPr>
                <w:rFonts w:ascii="Segoe UI" w:eastAsia="Calibri" w:hAnsi="Segoe UI" w:cs="Segoe UI"/>
                <w:sz w:val="20"/>
                <w:szCs w:val="20"/>
              </w:rPr>
              <w:t xml:space="preserve"> </w:t>
            </w:r>
            <w:r w:rsidRPr="00BB4D81">
              <w:rPr>
                <w:rFonts w:ascii="Segoe UI" w:eastAsia="Calibri" w:hAnsi="Segoe UI" w:cs="Segoe UI"/>
                <w:sz w:val="20"/>
                <w:szCs w:val="20"/>
              </w:rPr>
              <w:t>Admin</w:t>
            </w:r>
            <w:r w:rsidR="00091CDE">
              <w:rPr>
                <w:rFonts w:ascii="Segoe UI" w:eastAsia="Calibri" w:hAnsi="Segoe UI" w:cs="Segoe UI"/>
                <w:sz w:val="20"/>
                <w:szCs w:val="20"/>
              </w:rPr>
              <w:t xml:space="preserve">istrative </w:t>
            </w:r>
            <w:r w:rsidRPr="00BB4D81">
              <w:rPr>
                <w:rFonts w:ascii="Segoe UI" w:eastAsia="Calibri" w:hAnsi="Segoe UI" w:cs="Segoe UI"/>
                <w:sz w:val="20"/>
                <w:szCs w:val="20"/>
              </w:rPr>
              <w:t xml:space="preserve">information; experts involved in compilation of the dossier; labelling; leaflet. </w:t>
            </w:r>
          </w:p>
          <w:p w14:paraId="0218CEA3" w14:textId="77777777" w:rsidR="00D1378D" w:rsidRDefault="001F3F51" w:rsidP="00D779D6">
            <w:pPr>
              <w:pStyle w:val="ListParagraph"/>
              <w:jc w:val="both"/>
              <w:rPr>
                <w:rFonts w:ascii="Segoe UI" w:eastAsia="Calibri" w:hAnsi="Segoe UI" w:cs="Segoe UI"/>
                <w:sz w:val="20"/>
                <w:szCs w:val="20"/>
              </w:rPr>
            </w:pPr>
            <w:r w:rsidRPr="00BB4D81">
              <w:rPr>
                <w:rFonts w:ascii="Segoe UI" w:eastAsia="Calibri" w:hAnsi="Segoe UI" w:cs="Segoe UI"/>
                <w:sz w:val="20"/>
                <w:szCs w:val="20"/>
              </w:rPr>
              <w:t xml:space="preserve">2: characterisation of the blood/ tissue/cell; quality overview; non clinical overview; clinical overview; risk benefit evaluation; clinical follow up; clinical investigation plan. </w:t>
            </w:r>
          </w:p>
          <w:p w14:paraId="3AD96156" w14:textId="77777777" w:rsidR="00D1378D" w:rsidRDefault="001F3F51" w:rsidP="00D779D6">
            <w:pPr>
              <w:pStyle w:val="ListParagraph"/>
              <w:jc w:val="both"/>
              <w:rPr>
                <w:rFonts w:ascii="Segoe UI" w:eastAsia="Calibri" w:hAnsi="Segoe UI" w:cs="Segoe UI"/>
                <w:sz w:val="20"/>
                <w:szCs w:val="20"/>
              </w:rPr>
            </w:pPr>
            <w:r w:rsidRPr="00BB4D81">
              <w:rPr>
                <w:rFonts w:ascii="Segoe UI" w:eastAsia="Calibri" w:hAnsi="Segoe UI" w:cs="Segoe UI"/>
                <w:sz w:val="20"/>
                <w:szCs w:val="20"/>
              </w:rPr>
              <w:t>3: Composition of blood/tissue/cell; donor selection and testing; preparation process; validation and stability; quality control.</w:t>
            </w:r>
          </w:p>
          <w:p w14:paraId="7E5D1345" w14:textId="0C21F896" w:rsidR="00D1378D" w:rsidRDefault="001F3F51" w:rsidP="00D779D6">
            <w:pPr>
              <w:pStyle w:val="ListParagraph"/>
              <w:jc w:val="both"/>
              <w:rPr>
                <w:rFonts w:ascii="Segoe UI" w:eastAsia="Calibri" w:hAnsi="Segoe UI" w:cs="Segoe UI"/>
                <w:sz w:val="20"/>
                <w:szCs w:val="20"/>
              </w:rPr>
            </w:pPr>
            <w:r w:rsidRPr="00BB4D81">
              <w:rPr>
                <w:rFonts w:ascii="Segoe UI" w:eastAsia="Calibri" w:hAnsi="Segoe UI" w:cs="Segoe UI"/>
                <w:sz w:val="20"/>
                <w:szCs w:val="20"/>
              </w:rPr>
              <w:t xml:space="preserve">4: </w:t>
            </w:r>
            <w:r w:rsidR="005F0F28" w:rsidRPr="00BB4D81">
              <w:rPr>
                <w:rFonts w:ascii="Segoe UI" w:eastAsia="Calibri" w:hAnsi="Segoe UI" w:cs="Segoe UI"/>
                <w:sz w:val="20"/>
                <w:szCs w:val="20"/>
              </w:rPr>
              <w:t>non-clinical</w:t>
            </w:r>
            <w:r w:rsidRPr="00BB4D81">
              <w:rPr>
                <w:rFonts w:ascii="Segoe UI" w:eastAsia="Calibri" w:hAnsi="Segoe UI" w:cs="Segoe UI"/>
                <w:sz w:val="20"/>
                <w:szCs w:val="20"/>
              </w:rPr>
              <w:t xml:space="preserve"> study report.</w:t>
            </w:r>
          </w:p>
          <w:p w14:paraId="2D802F05" w14:textId="5B9BAD88" w:rsidR="001F3F51" w:rsidRPr="00BB4D81" w:rsidRDefault="001F3F51" w:rsidP="00D779D6">
            <w:pPr>
              <w:pStyle w:val="ListParagraph"/>
              <w:jc w:val="both"/>
              <w:rPr>
                <w:rFonts w:ascii="Segoe UI" w:eastAsia="Calibri" w:hAnsi="Segoe UI" w:cs="Segoe UI"/>
                <w:sz w:val="20"/>
                <w:szCs w:val="20"/>
              </w:rPr>
            </w:pPr>
            <w:r w:rsidRPr="00BB4D81">
              <w:rPr>
                <w:rFonts w:ascii="Segoe UI" w:eastAsia="Calibri" w:hAnsi="Segoe UI" w:cs="Segoe UI"/>
                <w:sz w:val="20"/>
                <w:szCs w:val="20"/>
              </w:rPr>
              <w:t xml:space="preserve">5: clinical study report)   </w:t>
            </w:r>
          </w:p>
          <w:p w14:paraId="2998919C" w14:textId="77777777" w:rsidR="001F3F51" w:rsidRPr="00BB4D81" w:rsidRDefault="001F3F51" w:rsidP="00D779D6">
            <w:pPr>
              <w:pStyle w:val="ListParagraph"/>
              <w:numPr>
                <w:ilvl w:val="0"/>
                <w:numId w:val="21"/>
              </w:numPr>
              <w:jc w:val="both"/>
              <w:rPr>
                <w:rFonts w:ascii="Segoe UI" w:eastAsia="Calibri" w:hAnsi="Segoe UI" w:cs="Segoe UI"/>
                <w:sz w:val="20"/>
                <w:szCs w:val="20"/>
              </w:rPr>
            </w:pPr>
            <w:r w:rsidRPr="00BB4D81">
              <w:rPr>
                <w:rFonts w:ascii="Segoe UI" w:eastAsia="Calibri" w:hAnsi="Segoe UI" w:cs="Segoe UI"/>
                <w:sz w:val="20"/>
                <w:szCs w:val="20"/>
              </w:rPr>
              <w:t>Variations</w:t>
            </w:r>
          </w:p>
        </w:tc>
      </w:tr>
      <w:tr w:rsidR="001F3F51" w:rsidRPr="00BB4D81" w14:paraId="74E6C1AE" w14:textId="77777777" w:rsidTr="00D779D6">
        <w:tc>
          <w:tcPr>
            <w:tcW w:w="9016" w:type="dxa"/>
          </w:tcPr>
          <w:p w14:paraId="4E38D240"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Part C</w:t>
            </w:r>
          </w:p>
        </w:tc>
      </w:tr>
      <w:tr w:rsidR="001F3F51" w:rsidRPr="00BB4D81" w14:paraId="687AD375" w14:textId="77777777" w:rsidTr="00D779D6">
        <w:tc>
          <w:tcPr>
            <w:tcW w:w="9016" w:type="dxa"/>
          </w:tcPr>
          <w:p w14:paraId="53A127A5"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Technical Annexes</w:t>
            </w:r>
          </w:p>
        </w:tc>
      </w:tr>
      <w:tr w:rsidR="001F3F51" w:rsidRPr="00BB4D81" w14:paraId="203029BB" w14:textId="77777777" w:rsidTr="00D779D6">
        <w:tc>
          <w:tcPr>
            <w:tcW w:w="9016" w:type="dxa"/>
          </w:tcPr>
          <w:p w14:paraId="4B0F2CA2"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Part D</w:t>
            </w:r>
          </w:p>
        </w:tc>
      </w:tr>
      <w:tr w:rsidR="001F3F51" w:rsidRPr="00BB4D81" w14:paraId="3D49966A" w14:textId="77777777" w:rsidTr="00D779D6">
        <w:tc>
          <w:tcPr>
            <w:tcW w:w="9016" w:type="dxa"/>
          </w:tcPr>
          <w:p w14:paraId="72BDAD78" w14:textId="77777777" w:rsidR="001F3F51" w:rsidRPr="00BB4D81" w:rsidRDefault="001F3F51" w:rsidP="00D779D6">
            <w:pPr>
              <w:pStyle w:val="ListParagraph"/>
              <w:numPr>
                <w:ilvl w:val="0"/>
                <w:numId w:val="21"/>
              </w:numPr>
              <w:jc w:val="both"/>
              <w:rPr>
                <w:rFonts w:ascii="Segoe UI" w:eastAsia="Calibri" w:hAnsi="Segoe UI" w:cs="Segoe UI"/>
                <w:sz w:val="20"/>
                <w:szCs w:val="20"/>
              </w:rPr>
            </w:pPr>
            <w:r w:rsidRPr="00BB4D81">
              <w:rPr>
                <w:rFonts w:ascii="Segoe UI" w:eastAsia="Calibri" w:hAnsi="Segoe UI" w:cs="Segoe UI"/>
                <w:sz w:val="20"/>
                <w:szCs w:val="20"/>
              </w:rPr>
              <w:t>Review and evaluation</w:t>
            </w:r>
          </w:p>
          <w:p w14:paraId="71B4B9D2" w14:textId="77777777" w:rsidR="001F3F51" w:rsidRPr="00BB4D81" w:rsidRDefault="001F3F51" w:rsidP="00D779D6">
            <w:pPr>
              <w:pStyle w:val="ListParagraph"/>
              <w:numPr>
                <w:ilvl w:val="0"/>
                <w:numId w:val="21"/>
              </w:numPr>
              <w:jc w:val="both"/>
              <w:rPr>
                <w:rFonts w:ascii="Segoe UI" w:eastAsia="Calibri" w:hAnsi="Segoe UI" w:cs="Segoe UI"/>
                <w:sz w:val="20"/>
                <w:szCs w:val="20"/>
              </w:rPr>
            </w:pPr>
            <w:r w:rsidRPr="00BB4D81">
              <w:rPr>
                <w:rFonts w:ascii="Segoe UI" w:eastAsia="Calibri" w:hAnsi="Segoe UI" w:cs="Segoe UI"/>
                <w:sz w:val="20"/>
                <w:szCs w:val="20"/>
              </w:rPr>
              <w:t>Authorisation</w:t>
            </w:r>
          </w:p>
        </w:tc>
      </w:tr>
      <w:tr w:rsidR="001F3F51" w:rsidRPr="00BB4D81" w14:paraId="1411445A" w14:textId="77777777" w:rsidTr="00D779D6">
        <w:tc>
          <w:tcPr>
            <w:tcW w:w="9016" w:type="dxa"/>
          </w:tcPr>
          <w:p w14:paraId="4B1C345A"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Part E</w:t>
            </w:r>
          </w:p>
        </w:tc>
      </w:tr>
      <w:tr w:rsidR="001F3F51" w:rsidRPr="00BB4D81" w14:paraId="16D1D71F" w14:textId="77777777" w:rsidTr="00D779D6">
        <w:tc>
          <w:tcPr>
            <w:tcW w:w="9016" w:type="dxa"/>
          </w:tcPr>
          <w:p w14:paraId="7577FA7F" w14:textId="77777777" w:rsidR="001F3F51" w:rsidRPr="00BB4D81" w:rsidRDefault="001F3F51" w:rsidP="00D779D6">
            <w:pPr>
              <w:jc w:val="both"/>
              <w:rPr>
                <w:rFonts w:ascii="Segoe UI" w:eastAsia="Calibri" w:hAnsi="Segoe UI" w:cs="Segoe UI"/>
                <w:sz w:val="20"/>
                <w:szCs w:val="20"/>
              </w:rPr>
            </w:pPr>
            <w:r w:rsidRPr="00BB4D81">
              <w:rPr>
                <w:rFonts w:ascii="Segoe UI" w:eastAsia="Calibri" w:hAnsi="Segoe UI" w:cs="Segoe UI"/>
                <w:sz w:val="20"/>
                <w:szCs w:val="20"/>
              </w:rPr>
              <w:t>Framework of Competent Authority</w:t>
            </w:r>
          </w:p>
        </w:tc>
      </w:tr>
    </w:tbl>
    <w:p w14:paraId="53E5D365" w14:textId="2BDF9279" w:rsidR="00BB4D81" w:rsidRPr="00BB4D81" w:rsidRDefault="001F3F51">
      <w:pPr>
        <w:rPr>
          <w:lang w:eastAsia="en-US"/>
        </w:rPr>
      </w:pPr>
      <w:r w:rsidRPr="00BB4D81">
        <w:rPr>
          <w:lang w:eastAsia="en-US"/>
        </w:rPr>
        <w:t xml:space="preserve">Table </w:t>
      </w:r>
      <w:r w:rsidR="00EB4F53">
        <w:rPr>
          <w:lang w:eastAsia="en-US"/>
        </w:rPr>
        <w:t>14</w:t>
      </w:r>
      <w:r w:rsidRPr="00BB4D81">
        <w:rPr>
          <w:lang w:eastAsia="en-US"/>
        </w:rPr>
        <w:t>: Proposed fram</w:t>
      </w:r>
      <w:r w:rsidR="00BB4D81" w:rsidRPr="00BB4D81">
        <w:rPr>
          <w:lang w:eastAsia="en-US"/>
        </w:rPr>
        <w:t>e</w:t>
      </w:r>
      <w:r w:rsidRPr="00BB4D81">
        <w:rPr>
          <w:lang w:eastAsia="en-US"/>
        </w:rPr>
        <w:t>work for guideline</w:t>
      </w:r>
    </w:p>
    <w:p w14:paraId="755D9BCA" w14:textId="59931514" w:rsidR="00BB4D81" w:rsidRPr="00BB4D81" w:rsidRDefault="00BB4D81" w:rsidP="001A1CBA">
      <w:pPr>
        <w:jc w:val="both"/>
        <w:rPr>
          <w:lang w:eastAsia="en-US"/>
        </w:rPr>
      </w:pPr>
      <w:r w:rsidRPr="00BB4D81">
        <w:rPr>
          <w:lang w:eastAsia="en-US"/>
        </w:rPr>
        <w:t>Definitions for novelty and significant change have been drafted by WP</w:t>
      </w:r>
      <w:r>
        <w:rPr>
          <w:lang w:eastAsia="en-US"/>
        </w:rPr>
        <w:t>5 and will be shared</w:t>
      </w:r>
      <w:r w:rsidRPr="00BB4D81">
        <w:rPr>
          <w:lang w:eastAsia="en-US"/>
        </w:rPr>
        <w:t xml:space="preserve"> with </w:t>
      </w:r>
      <w:r w:rsidR="00BB3F83">
        <w:rPr>
          <w:lang w:eastAsia="en-US"/>
        </w:rPr>
        <w:t xml:space="preserve">all </w:t>
      </w:r>
      <w:r w:rsidRPr="00BB4D81">
        <w:rPr>
          <w:lang w:eastAsia="en-US"/>
        </w:rPr>
        <w:t>GAPP members for comment</w:t>
      </w:r>
      <w:r w:rsidR="00BB3F83">
        <w:rPr>
          <w:lang w:eastAsia="en-US"/>
        </w:rPr>
        <w:t xml:space="preserve"> and agreement</w:t>
      </w:r>
      <w:r w:rsidRPr="00BB4D81">
        <w:rPr>
          <w:lang w:eastAsia="en-US"/>
        </w:rPr>
        <w:t>:</w:t>
      </w:r>
    </w:p>
    <w:p w14:paraId="4A8C0EDB" w14:textId="509F1550" w:rsidR="00753E41" w:rsidRDefault="00BB4D81" w:rsidP="001A1CBA">
      <w:pPr>
        <w:jc w:val="both"/>
        <w:rPr>
          <w:lang w:eastAsia="en-US"/>
        </w:rPr>
      </w:pPr>
      <w:r w:rsidRPr="00BB4D81">
        <w:rPr>
          <w:lang w:eastAsia="en-US"/>
        </w:rPr>
        <w:t xml:space="preserve">Novelty: </w:t>
      </w:r>
      <w:r w:rsidR="006F7707" w:rsidRPr="00BB4D81">
        <w:rPr>
          <w:lang w:eastAsia="en-US"/>
        </w:rPr>
        <w:t>Any change that could significantly affect the quality and/or the safety of the blood, tissues and cells and/or the safety of recipients. This change includes a new procedure designed by the BTC establishment, a new procedure adopted from another centre that has shown scientific evidence or the application of the BTC to treat a new clinical indication.</w:t>
      </w:r>
    </w:p>
    <w:p w14:paraId="196918E1" w14:textId="1EF70AA8" w:rsidR="00753E41" w:rsidRDefault="00BB4D81" w:rsidP="001A1CBA">
      <w:pPr>
        <w:jc w:val="both"/>
        <w:rPr>
          <w:lang w:val="en-US" w:eastAsia="en-US"/>
        </w:rPr>
      </w:pPr>
      <w:r>
        <w:rPr>
          <w:lang w:eastAsia="en-US"/>
        </w:rPr>
        <w:t xml:space="preserve">Significant change: </w:t>
      </w:r>
      <w:r w:rsidR="006F7707" w:rsidRPr="00BB4D81">
        <w:rPr>
          <w:lang w:val="ca-ES" w:eastAsia="en-US"/>
        </w:rPr>
        <w:t xml:space="preserve">Any </w:t>
      </w:r>
      <w:r w:rsidR="006F7707" w:rsidRPr="00BB4D81">
        <w:rPr>
          <w:lang w:val="en-US" w:eastAsia="en-US"/>
        </w:rPr>
        <w:t>change of the TCP with a risk category of orange and red according EUROGTP tool risk assessment or any blood product included in category A or B according ANSM classification.</w:t>
      </w:r>
    </w:p>
    <w:p w14:paraId="3D048488" w14:textId="24D4CD79" w:rsidR="00BB4D81" w:rsidRDefault="00BB4D81" w:rsidP="001A1CBA">
      <w:pPr>
        <w:jc w:val="both"/>
        <w:rPr>
          <w:lang w:val="en-US" w:eastAsia="en-US"/>
        </w:rPr>
      </w:pPr>
      <w:r>
        <w:rPr>
          <w:lang w:val="en-US" w:eastAsia="en-US"/>
        </w:rPr>
        <w:t xml:space="preserve">In </w:t>
      </w:r>
      <w:r w:rsidR="005F0F28">
        <w:rPr>
          <w:lang w:val="en-US" w:eastAsia="en-US"/>
        </w:rPr>
        <w:t>addition,</w:t>
      </w:r>
      <w:r>
        <w:rPr>
          <w:lang w:val="en-US" w:eastAsia="en-US"/>
        </w:rPr>
        <w:t xml:space="preserve"> Barcelona Tissue Bank </w:t>
      </w:r>
      <w:r w:rsidR="00BB3F83">
        <w:rPr>
          <w:lang w:val="en-US" w:eastAsia="en-US"/>
        </w:rPr>
        <w:t xml:space="preserve">are reviewing and adapting the </w:t>
      </w:r>
      <w:r>
        <w:rPr>
          <w:lang w:val="en-US" w:eastAsia="en-US"/>
        </w:rPr>
        <w:t>EUROGTPII so that it also includes blood, the use of EUROGTPII for both tissues and cells, and blood will be incorporated into the guidelines.</w:t>
      </w:r>
    </w:p>
    <w:p w14:paraId="771FFF39" w14:textId="3A45E7CD" w:rsidR="005E0BCE" w:rsidRDefault="005E0BCE" w:rsidP="001A1CBA">
      <w:pPr>
        <w:jc w:val="both"/>
        <w:rPr>
          <w:lang w:val="en-US" w:eastAsia="en-US"/>
        </w:rPr>
      </w:pPr>
      <w:r>
        <w:rPr>
          <w:lang w:val="en-US" w:eastAsia="en-US"/>
        </w:rPr>
        <w:t>WP5 will continue to work with other working groups to ensure that their outputs are adequately referenced within the guideline.</w:t>
      </w:r>
    </w:p>
    <w:p w14:paraId="548A2DBF" w14:textId="26AA0470" w:rsidR="00410406" w:rsidRPr="00410406" w:rsidRDefault="00E808CE" w:rsidP="007857CF">
      <w:pPr>
        <w:spacing w:line="259" w:lineRule="auto"/>
        <w:jc w:val="both"/>
        <w:rPr>
          <w:rFonts w:ascii="Segoe UI" w:eastAsia="Calibri" w:hAnsi="Segoe UI" w:cs="Segoe UI"/>
          <w:sz w:val="20"/>
          <w:szCs w:val="20"/>
        </w:rPr>
      </w:pPr>
      <w:r w:rsidRPr="00410406">
        <w:rPr>
          <w:lang w:val="en-US" w:eastAsia="en-US"/>
        </w:rPr>
        <w:t xml:space="preserve">The Commission Expert Sub-Group on Inspections in the Blood and Tissues and Cells Sectors (IES) is a sub-group of Competent Authorities on Substances of Human Origin (CASoHO) Expert Group. The work of the group is conducted on a voluntary basis and consists of multiple work clusters. One of these work clusters is </w:t>
      </w:r>
      <w:r w:rsidR="00410406" w:rsidRPr="00410406">
        <w:rPr>
          <w:lang w:val="en-US" w:eastAsia="en-US"/>
        </w:rPr>
        <w:t xml:space="preserve">currently reviewing </w:t>
      </w:r>
      <w:r w:rsidR="00410406" w:rsidRPr="00410406">
        <w:rPr>
          <w:rFonts w:ascii="Segoe UI" w:eastAsia="Calibri" w:hAnsi="Segoe UI" w:cs="Segoe UI"/>
          <w:sz w:val="20"/>
          <w:szCs w:val="20"/>
        </w:rPr>
        <w:t>VISTART WP6 – ‘Inspection guidelines for EU Competent Authorities responsible for the inspection and authorisation of blood and tissue establishments’</w:t>
      </w:r>
      <w:r w:rsidR="00410406">
        <w:rPr>
          <w:rFonts w:ascii="Segoe UI" w:eastAsia="Calibri" w:hAnsi="Segoe UI" w:cs="Segoe UI"/>
          <w:sz w:val="20"/>
          <w:szCs w:val="20"/>
        </w:rPr>
        <w:t>.</w:t>
      </w:r>
    </w:p>
    <w:p w14:paraId="26DA63B0" w14:textId="4DFD2221" w:rsidR="00E808CE" w:rsidRDefault="00E808CE" w:rsidP="001A1CBA">
      <w:pPr>
        <w:jc w:val="both"/>
        <w:rPr>
          <w:lang w:val="en-US" w:eastAsia="en-US"/>
        </w:rPr>
      </w:pPr>
    </w:p>
    <w:p w14:paraId="2B7DC797" w14:textId="704629AD" w:rsidR="005E0BCE" w:rsidRPr="00FE75DF" w:rsidRDefault="00091CDE" w:rsidP="00BB4D81">
      <w:pPr>
        <w:rPr>
          <w:lang w:val="en-US" w:eastAsia="en-US"/>
        </w:rPr>
      </w:pPr>
      <w:r w:rsidRPr="00FE75DF">
        <w:rPr>
          <w:lang w:val="en-US" w:eastAsia="en-US"/>
        </w:rPr>
        <w:t xml:space="preserve">WP5 </w:t>
      </w:r>
      <w:r w:rsidR="00410406" w:rsidRPr="00FE75DF">
        <w:rPr>
          <w:lang w:val="en-US" w:eastAsia="en-US"/>
        </w:rPr>
        <w:t xml:space="preserve">would like </w:t>
      </w:r>
      <w:r w:rsidRPr="00FE75DF">
        <w:rPr>
          <w:lang w:val="en-US" w:eastAsia="en-US"/>
        </w:rPr>
        <w:t xml:space="preserve">to thank the </w:t>
      </w:r>
      <w:r w:rsidR="00410406" w:rsidRPr="00FE75DF">
        <w:rPr>
          <w:lang w:val="en-US" w:eastAsia="en-US"/>
        </w:rPr>
        <w:t xml:space="preserve">many </w:t>
      </w:r>
      <w:r w:rsidRPr="00FE75DF">
        <w:rPr>
          <w:lang w:val="en-US" w:eastAsia="en-US"/>
        </w:rPr>
        <w:t xml:space="preserve">Competent Authorities as well as the European Commission </w:t>
      </w:r>
      <w:r w:rsidR="00410406" w:rsidRPr="00FE75DF">
        <w:rPr>
          <w:lang w:val="en-US" w:eastAsia="en-US"/>
        </w:rPr>
        <w:t xml:space="preserve">who participated in </w:t>
      </w:r>
      <w:r w:rsidRPr="00FE75DF">
        <w:rPr>
          <w:lang w:val="en-US" w:eastAsia="en-US"/>
        </w:rPr>
        <w:t>the Multicounty Workshops and in the survey.</w:t>
      </w:r>
    </w:p>
    <w:p w14:paraId="0660898E" w14:textId="5F93BB4C" w:rsidR="00BB4D81" w:rsidRDefault="00BB4D81" w:rsidP="00BB4D81">
      <w:pPr>
        <w:rPr>
          <w:lang w:val="en-US" w:eastAsia="en-US"/>
        </w:rPr>
      </w:pPr>
      <w:r>
        <w:rPr>
          <w:lang w:val="en-US" w:eastAsia="en-US"/>
        </w:rPr>
        <w:t xml:space="preserve"> </w:t>
      </w:r>
    </w:p>
    <w:p w14:paraId="06E0164E" w14:textId="77777777" w:rsidR="00BB4D81" w:rsidRDefault="00BB4D81" w:rsidP="00BB4D81">
      <w:pPr>
        <w:rPr>
          <w:lang w:val="en-US" w:eastAsia="en-US"/>
        </w:rPr>
      </w:pPr>
    </w:p>
    <w:p w14:paraId="28FEC93E" w14:textId="77777777" w:rsidR="00BB4D81" w:rsidRPr="00BB4D81" w:rsidRDefault="00BB4D81" w:rsidP="00BB4D81">
      <w:pPr>
        <w:rPr>
          <w:lang w:eastAsia="en-US"/>
        </w:rPr>
      </w:pPr>
    </w:p>
    <w:p w14:paraId="0201798E" w14:textId="3E18154D" w:rsidR="00BB4D81" w:rsidRPr="00BB4D81" w:rsidRDefault="00BB4D81" w:rsidP="00BB4D81">
      <w:pPr>
        <w:rPr>
          <w:lang w:eastAsia="en-US"/>
        </w:rPr>
      </w:pPr>
    </w:p>
    <w:p w14:paraId="35D36425" w14:textId="7E4B1F4D" w:rsidR="001F3F51" w:rsidRPr="00BB4D81" w:rsidRDefault="001F3F51">
      <w:pPr>
        <w:rPr>
          <w:lang w:eastAsia="en-US"/>
        </w:rPr>
      </w:pPr>
      <w:r w:rsidRPr="00BB4D81">
        <w:rPr>
          <w:lang w:eastAsia="en-US"/>
        </w:rPr>
        <w:br w:type="page"/>
      </w:r>
    </w:p>
    <w:p w14:paraId="4E9F5E0D" w14:textId="17FFF2E8" w:rsidR="00E53CF2" w:rsidRPr="007857CF" w:rsidRDefault="008F1340" w:rsidP="00E53CF2">
      <w:pPr>
        <w:pStyle w:val="Heading3"/>
        <w:jc w:val="both"/>
        <w:rPr>
          <w:rFonts w:eastAsia="Times New Roman"/>
          <w:b/>
          <w:lang w:eastAsia="en-US"/>
        </w:rPr>
      </w:pPr>
      <w:bookmarkStart w:id="17" w:name="_Toc48388683"/>
      <w:r w:rsidRPr="007857CF">
        <w:rPr>
          <w:rFonts w:eastAsia="Times New Roman"/>
          <w:b/>
          <w:lang w:eastAsia="en-US"/>
        </w:rPr>
        <w:t>Appendix 1 – GAPP Work Package 5 Survey Results:</w:t>
      </w:r>
      <w:bookmarkEnd w:id="17"/>
    </w:p>
    <w:p w14:paraId="51167457" w14:textId="119FA079" w:rsidR="008F1340" w:rsidRPr="00BB4D81" w:rsidRDefault="008F1340" w:rsidP="008F1340">
      <w:pPr>
        <w:rPr>
          <w:lang w:eastAsia="en-US"/>
        </w:rPr>
      </w:pPr>
    </w:p>
    <w:p w14:paraId="42791EE2" w14:textId="77777777" w:rsidR="008F1340" w:rsidRPr="00BB4D81" w:rsidRDefault="008F1340" w:rsidP="008F1340">
      <w:pPr>
        <w:rPr>
          <w:b/>
        </w:rPr>
      </w:pPr>
      <w:r w:rsidRPr="00BB4D81">
        <w:rPr>
          <w:b/>
        </w:rPr>
        <w:t>Appendix 1 GAPP Work Package 5 Survey Results:</w:t>
      </w:r>
    </w:p>
    <w:p w14:paraId="3BA296E6" w14:textId="77777777" w:rsidR="008F1340" w:rsidRPr="00BB4D81" w:rsidRDefault="008F1340" w:rsidP="008F1340">
      <w:pPr>
        <w:rPr>
          <w:b/>
        </w:rPr>
      </w:pPr>
      <w:r w:rsidRPr="00BB4D81">
        <w:rPr>
          <w:b/>
        </w:rPr>
        <w:t>Section 1: Framework for authorisation at Competent Authority</w:t>
      </w:r>
    </w:p>
    <w:p w14:paraId="6783CFD7" w14:textId="77777777" w:rsidR="008F1340" w:rsidRPr="00BB4D81" w:rsidRDefault="008F1340" w:rsidP="008F1340">
      <w:r w:rsidRPr="00BB4D81">
        <w:t>Q1: Name of Competent Authority</w:t>
      </w:r>
    </w:p>
    <w:p w14:paraId="46C96696" w14:textId="77777777" w:rsidR="008F1340" w:rsidRPr="00BB4D81" w:rsidRDefault="008F1340" w:rsidP="008F1340">
      <w:r w:rsidRPr="00BB4D81">
        <w:t xml:space="preserve">Q2: Member State </w:t>
      </w:r>
    </w:p>
    <w:p w14:paraId="37716F85" w14:textId="77777777" w:rsidR="008F1340" w:rsidRPr="00BB4D81" w:rsidRDefault="008F1340" w:rsidP="008F1340">
      <w:r w:rsidRPr="00BB4D81">
        <w:t>Q3: Sectors Regulated by your Competent Authority</w:t>
      </w:r>
    </w:p>
    <w:p w14:paraId="15D011CB" w14:textId="77777777" w:rsidR="008F1340" w:rsidRPr="00BB4D81" w:rsidRDefault="008F1340" w:rsidP="008F1340">
      <w:r w:rsidRPr="00BB4D81">
        <w:rPr>
          <w:noProof/>
          <w:lang w:eastAsia="en-IE"/>
        </w:rPr>
        <w:drawing>
          <wp:inline distT="0" distB="0" distL="0" distR="0" wp14:anchorId="62CFF14A" wp14:editId="5E688B82">
            <wp:extent cx="5388428" cy="2140857"/>
            <wp:effectExtent l="0" t="0" r="3175" b="0"/>
            <wp:docPr id="14" name="Picture 3" descr="table2596717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596717090.png"/>
                    <pic:cNvPicPr>
                      <a:picLocks noChangeAspect="1"/>
                    </pic:cNvPicPr>
                  </pic:nvPicPr>
                  <pic:blipFill>
                    <a:blip r:embed="rId20"/>
                    <a:stretch>
                      <a:fillRect/>
                    </a:stretch>
                  </pic:blipFill>
                  <pic:spPr>
                    <a:xfrm>
                      <a:off x="0" y="0"/>
                      <a:ext cx="5388428" cy="2140857"/>
                    </a:xfrm>
                    <a:prstGeom prst="rect">
                      <a:avLst/>
                    </a:prstGeom>
                  </pic:spPr>
                </pic:pic>
              </a:graphicData>
            </a:graphic>
          </wp:inline>
        </w:drawing>
      </w:r>
    </w:p>
    <w:p w14:paraId="6A474F5E" w14:textId="77777777" w:rsidR="008F1340" w:rsidRPr="00BB4D81" w:rsidRDefault="008F1340" w:rsidP="008F1340">
      <w:r w:rsidRPr="00BB4D81">
        <w:t>Q4: Is your Competent Authority:</w:t>
      </w:r>
    </w:p>
    <w:p w14:paraId="4CBCB2F2" w14:textId="77777777" w:rsidR="008F1340" w:rsidRPr="00BB4D81" w:rsidRDefault="008F1340" w:rsidP="008F1340">
      <w:r w:rsidRPr="00BB4D81">
        <w:rPr>
          <w:noProof/>
          <w:lang w:eastAsia="en-IE"/>
        </w:rPr>
        <w:drawing>
          <wp:inline distT="0" distB="0" distL="0" distR="0" wp14:anchorId="6BBCDC15" wp14:editId="4753F402">
            <wp:extent cx="5388428" cy="1297214"/>
            <wp:effectExtent l="0" t="0" r="3175" b="0"/>
            <wp:docPr id="15" name="Picture 3" descr="table2604569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569600.png"/>
                    <pic:cNvPicPr>
                      <a:picLocks noChangeAspect="1"/>
                    </pic:cNvPicPr>
                  </pic:nvPicPr>
                  <pic:blipFill>
                    <a:blip r:embed="rId21"/>
                    <a:stretch>
                      <a:fillRect/>
                    </a:stretch>
                  </pic:blipFill>
                  <pic:spPr>
                    <a:xfrm>
                      <a:off x="0" y="0"/>
                      <a:ext cx="5388428" cy="1297214"/>
                    </a:xfrm>
                    <a:prstGeom prst="rect">
                      <a:avLst/>
                    </a:prstGeom>
                  </pic:spPr>
                </pic:pic>
              </a:graphicData>
            </a:graphic>
          </wp:inline>
        </w:drawing>
      </w:r>
    </w:p>
    <w:p w14:paraId="7E29DA08" w14:textId="77777777" w:rsidR="008F1340" w:rsidRPr="00BB4D81" w:rsidRDefault="008F1340" w:rsidP="008F1340">
      <w:r w:rsidRPr="00BB4D81">
        <w:t>Q5: Is your Competent Authority involved in the GAPP joint action?</w:t>
      </w:r>
    </w:p>
    <w:p w14:paraId="269E693B" w14:textId="0D1A0DA1" w:rsidR="00FE75DF" w:rsidRDefault="008F1340" w:rsidP="008F1340">
      <w:r w:rsidRPr="00BB4D81">
        <w:rPr>
          <w:noProof/>
          <w:lang w:eastAsia="en-IE"/>
        </w:rPr>
        <w:drawing>
          <wp:inline distT="0" distB="0" distL="0" distR="0" wp14:anchorId="7AC4DD98" wp14:editId="6D760D7F">
            <wp:extent cx="5388428" cy="1016000"/>
            <wp:effectExtent l="0" t="0" r="3175" b="0"/>
            <wp:docPr id="20" name="Picture 3" descr="table2604606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606510.png"/>
                    <pic:cNvPicPr>
                      <a:picLocks noChangeAspect="1"/>
                    </pic:cNvPicPr>
                  </pic:nvPicPr>
                  <pic:blipFill>
                    <a:blip r:embed="rId22"/>
                    <a:stretch>
                      <a:fillRect/>
                    </a:stretch>
                  </pic:blipFill>
                  <pic:spPr>
                    <a:xfrm>
                      <a:off x="0" y="0"/>
                      <a:ext cx="5388428" cy="1016000"/>
                    </a:xfrm>
                    <a:prstGeom prst="rect">
                      <a:avLst/>
                    </a:prstGeom>
                  </pic:spPr>
                </pic:pic>
              </a:graphicData>
            </a:graphic>
          </wp:inline>
        </w:drawing>
      </w:r>
    </w:p>
    <w:p w14:paraId="3B89938F" w14:textId="77777777" w:rsidR="00FE75DF" w:rsidRDefault="00FE75DF">
      <w:r>
        <w:br w:type="page"/>
      </w:r>
    </w:p>
    <w:p w14:paraId="2637CDE2" w14:textId="77777777" w:rsidR="008F1340" w:rsidRPr="00BB4D81" w:rsidRDefault="008F1340" w:rsidP="008F1340">
      <w:r w:rsidRPr="00BB4D81">
        <w:t xml:space="preserve">Q6: Which of the following are included in the scope of your blood or tissue establishment authorisations? </w:t>
      </w:r>
    </w:p>
    <w:p w14:paraId="45E21B96" w14:textId="77777777" w:rsidR="008F1340" w:rsidRPr="00BB4D81" w:rsidRDefault="008F1340" w:rsidP="008F1340">
      <w:r w:rsidRPr="00BB4D81">
        <w:rPr>
          <w:noProof/>
          <w:lang w:eastAsia="en-IE"/>
        </w:rPr>
        <w:drawing>
          <wp:inline distT="0" distB="0" distL="0" distR="0" wp14:anchorId="64F0B5F3" wp14:editId="01810C04">
            <wp:extent cx="5388428" cy="2140857"/>
            <wp:effectExtent l="0" t="0" r="3175" b="0"/>
            <wp:docPr id="21" name="Picture 3" descr="table2596732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596732690.png"/>
                    <pic:cNvPicPr>
                      <a:picLocks noChangeAspect="1"/>
                    </pic:cNvPicPr>
                  </pic:nvPicPr>
                  <pic:blipFill>
                    <a:blip r:embed="rId13"/>
                    <a:stretch>
                      <a:fillRect/>
                    </a:stretch>
                  </pic:blipFill>
                  <pic:spPr>
                    <a:xfrm>
                      <a:off x="0" y="0"/>
                      <a:ext cx="5388428" cy="2140857"/>
                    </a:xfrm>
                    <a:prstGeom prst="rect">
                      <a:avLst/>
                    </a:prstGeom>
                  </pic:spPr>
                </pic:pic>
              </a:graphicData>
            </a:graphic>
          </wp:inline>
        </w:drawing>
      </w:r>
    </w:p>
    <w:p w14:paraId="0E492415" w14:textId="77777777" w:rsidR="008F1340" w:rsidRPr="00BB4D81" w:rsidRDefault="008F1340" w:rsidP="008F1340">
      <w:r w:rsidRPr="00BB4D81">
        <w:t>Q7: If you ticked blood / tissue and cell products above are the products listed on your authorisations, linked to, or aligned with:</w:t>
      </w:r>
    </w:p>
    <w:p w14:paraId="26FA0442" w14:textId="77777777" w:rsidR="008F1340" w:rsidRPr="00BB4D81" w:rsidRDefault="008F1340" w:rsidP="008F1340">
      <w:r w:rsidRPr="00BB4D81">
        <w:rPr>
          <w:noProof/>
          <w:lang w:eastAsia="en-IE"/>
        </w:rPr>
        <w:drawing>
          <wp:inline distT="0" distB="0" distL="0" distR="0" wp14:anchorId="4EB695AC" wp14:editId="4D98C55F">
            <wp:extent cx="5388428" cy="1297214"/>
            <wp:effectExtent l="0" t="0" r="3175" b="0"/>
            <wp:docPr id="2" name="Picture 3" descr="table2596745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596745660.png"/>
                    <pic:cNvPicPr>
                      <a:picLocks noChangeAspect="1"/>
                    </pic:cNvPicPr>
                  </pic:nvPicPr>
                  <pic:blipFill>
                    <a:blip r:embed="rId23"/>
                    <a:stretch>
                      <a:fillRect/>
                    </a:stretch>
                  </pic:blipFill>
                  <pic:spPr>
                    <a:xfrm>
                      <a:off x="0" y="0"/>
                      <a:ext cx="5388428" cy="1297214"/>
                    </a:xfrm>
                    <a:prstGeom prst="rect">
                      <a:avLst/>
                    </a:prstGeom>
                  </pic:spPr>
                </pic:pic>
              </a:graphicData>
            </a:graphic>
          </wp:inline>
        </w:drawing>
      </w:r>
    </w:p>
    <w:p w14:paraId="60822E84" w14:textId="77777777" w:rsidR="008F1340" w:rsidRPr="00BB4D81" w:rsidRDefault="008F1340" w:rsidP="008F1340">
      <w:r w:rsidRPr="00BB4D81">
        <w:t xml:space="preserve">Q8: Is the scope of your blood or tissue establishment authorisations defined within: </w:t>
      </w:r>
    </w:p>
    <w:p w14:paraId="7D3F7649" w14:textId="759007ED" w:rsidR="00FE75DF" w:rsidRDefault="008F1340" w:rsidP="008F1340">
      <w:r w:rsidRPr="00BB4D81">
        <w:rPr>
          <w:noProof/>
          <w:lang w:eastAsia="en-IE"/>
        </w:rPr>
        <w:drawing>
          <wp:inline distT="0" distB="0" distL="0" distR="0" wp14:anchorId="78D8A34D" wp14:editId="29FDC05A">
            <wp:extent cx="5388428" cy="1578428"/>
            <wp:effectExtent l="0" t="0" r="3175" b="3175"/>
            <wp:docPr id="19" name="Picture 3" descr="table2596755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596755580.png"/>
                    <pic:cNvPicPr>
                      <a:picLocks noChangeAspect="1"/>
                    </pic:cNvPicPr>
                  </pic:nvPicPr>
                  <pic:blipFill>
                    <a:blip r:embed="rId24"/>
                    <a:stretch>
                      <a:fillRect/>
                    </a:stretch>
                  </pic:blipFill>
                  <pic:spPr>
                    <a:xfrm>
                      <a:off x="0" y="0"/>
                      <a:ext cx="5388428" cy="1578428"/>
                    </a:xfrm>
                    <a:prstGeom prst="rect">
                      <a:avLst/>
                    </a:prstGeom>
                  </pic:spPr>
                </pic:pic>
              </a:graphicData>
            </a:graphic>
          </wp:inline>
        </w:drawing>
      </w:r>
    </w:p>
    <w:p w14:paraId="318D0D47" w14:textId="77777777" w:rsidR="00FE75DF" w:rsidRDefault="00FE75DF">
      <w:r>
        <w:br w:type="page"/>
      </w:r>
    </w:p>
    <w:p w14:paraId="06A9C3C9" w14:textId="77777777" w:rsidR="008F1340" w:rsidRPr="00BB4D81" w:rsidRDefault="008F1340" w:rsidP="008F1340">
      <w:r w:rsidRPr="00BB4D81">
        <w:t>Q9: What type of authorisations do you grant?</w:t>
      </w:r>
    </w:p>
    <w:p w14:paraId="39C8B3D6" w14:textId="77777777" w:rsidR="008F1340" w:rsidRPr="00BB4D81" w:rsidRDefault="008F1340" w:rsidP="008F1340">
      <w:r w:rsidRPr="00BB4D81">
        <w:rPr>
          <w:noProof/>
          <w:lang w:eastAsia="en-IE"/>
        </w:rPr>
        <w:drawing>
          <wp:inline distT="0" distB="0" distL="0" distR="0" wp14:anchorId="06C90E72" wp14:editId="6A3BE568">
            <wp:extent cx="5388428" cy="1723571"/>
            <wp:effectExtent l="0" t="0" r="3175" b="0"/>
            <wp:docPr id="24" name="Picture 3" descr="table2603627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3627470.png"/>
                    <pic:cNvPicPr>
                      <a:picLocks noChangeAspect="1"/>
                    </pic:cNvPicPr>
                  </pic:nvPicPr>
                  <pic:blipFill>
                    <a:blip r:embed="rId25"/>
                    <a:stretch>
                      <a:fillRect/>
                    </a:stretch>
                  </pic:blipFill>
                  <pic:spPr>
                    <a:xfrm>
                      <a:off x="0" y="0"/>
                      <a:ext cx="5388428" cy="1723571"/>
                    </a:xfrm>
                    <a:prstGeom prst="rect">
                      <a:avLst/>
                    </a:prstGeom>
                  </pic:spPr>
                </pic:pic>
              </a:graphicData>
            </a:graphic>
          </wp:inline>
        </w:drawing>
      </w:r>
    </w:p>
    <w:p w14:paraId="63A7ECF6" w14:textId="77777777" w:rsidR="008F1340" w:rsidRPr="00BB4D81" w:rsidRDefault="008F1340" w:rsidP="008F1340">
      <w:r w:rsidRPr="00BB4D81">
        <w:t>Q10: Are the types of authorisation defined within:</w:t>
      </w:r>
    </w:p>
    <w:p w14:paraId="3C3A7980" w14:textId="77777777" w:rsidR="008F1340" w:rsidRPr="00BB4D81" w:rsidRDefault="008F1340" w:rsidP="008F1340">
      <w:r w:rsidRPr="00BB4D81">
        <w:rPr>
          <w:noProof/>
          <w:lang w:eastAsia="en-IE"/>
        </w:rPr>
        <w:drawing>
          <wp:inline distT="0" distB="0" distL="0" distR="0" wp14:anchorId="16DCB740" wp14:editId="2C6EDE61">
            <wp:extent cx="5388428" cy="1578428"/>
            <wp:effectExtent l="0" t="0" r="3175" b="3175"/>
            <wp:docPr id="25" name="Picture 3" descr="table2603646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3646320.png"/>
                    <pic:cNvPicPr>
                      <a:picLocks noChangeAspect="1"/>
                    </pic:cNvPicPr>
                  </pic:nvPicPr>
                  <pic:blipFill>
                    <a:blip r:embed="rId26"/>
                    <a:stretch>
                      <a:fillRect/>
                    </a:stretch>
                  </pic:blipFill>
                  <pic:spPr>
                    <a:xfrm>
                      <a:off x="0" y="0"/>
                      <a:ext cx="5388428" cy="1578428"/>
                    </a:xfrm>
                    <a:prstGeom prst="rect">
                      <a:avLst/>
                    </a:prstGeom>
                  </pic:spPr>
                </pic:pic>
              </a:graphicData>
            </a:graphic>
          </wp:inline>
        </w:drawing>
      </w:r>
    </w:p>
    <w:p w14:paraId="2A53FF10" w14:textId="77777777" w:rsidR="008F1340" w:rsidRPr="00BB4D81" w:rsidRDefault="008F1340" w:rsidP="008F1340">
      <w:r w:rsidRPr="00BB4D81">
        <w:t>Q11: Does the Competent Authority have a system in place to manage changes to existing authorisations?</w:t>
      </w:r>
    </w:p>
    <w:p w14:paraId="736CE14D" w14:textId="77777777" w:rsidR="008F1340" w:rsidRPr="00BB4D81" w:rsidRDefault="008F1340" w:rsidP="008F1340">
      <w:r w:rsidRPr="00BB4D81">
        <w:rPr>
          <w:noProof/>
          <w:lang w:eastAsia="en-IE"/>
        </w:rPr>
        <w:drawing>
          <wp:inline distT="0" distB="0" distL="0" distR="0" wp14:anchorId="3455F7B2" wp14:editId="610C33F0">
            <wp:extent cx="5388428" cy="1016000"/>
            <wp:effectExtent l="0" t="0" r="3175" b="0"/>
            <wp:docPr id="26" name="Picture 3" descr="table2603804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3804180.png"/>
                    <pic:cNvPicPr>
                      <a:picLocks noChangeAspect="1"/>
                    </pic:cNvPicPr>
                  </pic:nvPicPr>
                  <pic:blipFill>
                    <a:blip r:embed="rId27"/>
                    <a:stretch>
                      <a:fillRect/>
                    </a:stretch>
                  </pic:blipFill>
                  <pic:spPr>
                    <a:xfrm>
                      <a:off x="0" y="0"/>
                      <a:ext cx="5388428" cy="1016000"/>
                    </a:xfrm>
                    <a:prstGeom prst="rect">
                      <a:avLst/>
                    </a:prstGeom>
                  </pic:spPr>
                </pic:pic>
              </a:graphicData>
            </a:graphic>
          </wp:inline>
        </w:drawing>
      </w:r>
      <w:r w:rsidRPr="00BB4D81">
        <w:t xml:space="preserve"> </w:t>
      </w:r>
    </w:p>
    <w:p w14:paraId="330C34AB" w14:textId="77777777" w:rsidR="008F1340" w:rsidRPr="00BB4D81" w:rsidRDefault="008F1340" w:rsidP="008F1340">
      <w:r w:rsidRPr="00BB4D81">
        <w:t>Q12: Is it defined what changes require an amendment to the authorisation?</w:t>
      </w:r>
    </w:p>
    <w:p w14:paraId="764D5AF6" w14:textId="5844C307" w:rsidR="00FE75DF" w:rsidRDefault="008F1340" w:rsidP="008F1340">
      <w:r w:rsidRPr="00BB4D81">
        <w:rPr>
          <w:noProof/>
          <w:lang w:eastAsia="en-IE"/>
        </w:rPr>
        <w:drawing>
          <wp:inline distT="0" distB="0" distL="0" distR="0" wp14:anchorId="2C317AF2" wp14:editId="014659F4">
            <wp:extent cx="5388428" cy="1297214"/>
            <wp:effectExtent l="0" t="0" r="3175" b="0"/>
            <wp:docPr id="27" name="Picture 3" descr="table260381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3810710.png"/>
                    <pic:cNvPicPr>
                      <a:picLocks noChangeAspect="1"/>
                    </pic:cNvPicPr>
                  </pic:nvPicPr>
                  <pic:blipFill>
                    <a:blip r:embed="rId28"/>
                    <a:stretch>
                      <a:fillRect/>
                    </a:stretch>
                  </pic:blipFill>
                  <pic:spPr>
                    <a:xfrm>
                      <a:off x="0" y="0"/>
                      <a:ext cx="5388428" cy="1297214"/>
                    </a:xfrm>
                    <a:prstGeom prst="rect">
                      <a:avLst/>
                    </a:prstGeom>
                  </pic:spPr>
                </pic:pic>
              </a:graphicData>
            </a:graphic>
          </wp:inline>
        </w:drawing>
      </w:r>
    </w:p>
    <w:p w14:paraId="60FAB909" w14:textId="77777777" w:rsidR="00FE75DF" w:rsidRDefault="00FE75DF">
      <w:r>
        <w:br w:type="page"/>
      </w:r>
    </w:p>
    <w:p w14:paraId="10A77D37" w14:textId="77777777" w:rsidR="008F1340" w:rsidRPr="00BB4D81" w:rsidRDefault="008F1340" w:rsidP="008F1340">
      <w:r w:rsidRPr="00BB4D81">
        <w:t>Q13: Is the process for managing changes linked to the inspection system?</w:t>
      </w:r>
    </w:p>
    <w:p w14:paraId="047B658D" w14:textId="77777777" w:rsidR="008F1340" w:rsidRPr="00BB4D81" w:rsidRDefault="008F1340" w:rsidP="008F1340">
      <w:r w:rsidRPr="00BB4D81">
        <w:rPr>
          <w:noProof/>
          <w:lang w:eastAsia="en-IE"/>
        </w:rPr>
        <w:drawing>
          <wp:inline distT="0" distB="0" distL="0" distR="0" wp14:anchorId="02F5966C" wp14:editId="22986A3B">
            <wp:extent cx="5388428" cy="1297214"/>
            <wp:effectExtent l="0" t="0" r="3175" b="0"/>
            <wp:docPr id="28" name="Picture 3" descr="table260381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3810710.png"/>
                    <pic:cNvPicPr>
                      <a:picLocks noChangeAspect="1"/>
                    </pic:cNvPicPr>
                  </pic:nvPicPr>
                  <pic:blipFill>
                    <a:blip r:embed="rId28"/>
                    <a:stretch>
                      <a:fillRect/>
                    </a:stretch>
                  </pic:blipFill>
                  <pic:spPr>
                    <a:xfrm>
                      <a:off x="0" y="0"/>
                      <a:ext cx="5388428" cy="1297214"/>
                    </a:xfrm>
                    <a:prstGeom prst="rect">
                      <a:avLst/>
                    </a:prstGeom>
                  </pic:spPr>
                </pic:pic>
              </a:graphicData>
            </a:graphic>
          </wp:inline>
        </w:drawing>
      </w:r>
    </w:p>
    <w:p w14:paraId="0CF3790A" w14:textId="77777777" w:rsidR="008F1340" w:rsidRPr="00BB4D81" w:rsidRDefault="008F1340" w:rsidP="008F1340">
      <w:r w:rsidRPr="00BB4D81">
        <w:t>Q14: Does your Competent Authority have a system in place to manage the authorisation of new/novel:</w:t>
      </w:r>
    </w:p>
    <w:p w14:paraId="73772B8D" w14:textId="77777777" w:rsidR="008F1340" w:rsidRPr="00BB4D81" w:rsidRDefault="008F1340" w:rsidP="008F1340">
      <w:r w:rsidRPr="00BB4D81">
        <w:rPr>
          <w:noProof/>
          <w:lang w:eastAsia="en-IE"/>
        </w:rPr>
        <w:drawing>
          <wp:inline distT="0" distB="0" distL="0" distR="0" wp14:anchorId="4C3012DD" wp14:editId="6B508708">
            <wp:extent cx="5388428" cy="2140857"/>
            <wp:effectExtent l="0" t="0" r="3175" b="0"/>
            <wp:docPr id="29" name="Picture 3" descr="table2604329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329630.png"/>
                    <pic:cNvPicPr>
                      <a:picLocks noChangeAspect="1"/>
                    </pic:cNvPicPr>
                  </pic:nvPicPr>
                  <pic:blipFill>
                    <a:blip r:embed="rId29"/>
                    <a:stretch>
                      <a:fillRect/>
                    </a:stretch>
                  </pic:blipFill>
                  <pic:spPr>
                    <a:xfrm>
                      <a:off x="0" y="0"/>
                      <a:ext cx="5388428" cy="2140857"/>
                    </a:xfrm>
                    <a:prstGeom prst="rect">
                      <a:avLst/>
                    </a:prstGeom>
                  </pic:spPr>
                </pic:pic>
              </a:graphicData>
            </a:graphic>
          </wp:inline>
        </w:drawing>
      </w:r>
    </w:p>
    <w:p w14:paraId="3DCEC5E5" w14:textId="77777777" w:rsidR="008F1340" w:rsidRPr="00BB4D81" w:rsidRDefault="008F1340" w:rsidP="008F1340">
      <w:r w:rsidRPr="00BB4D81">
        <w:t>Q15: Is it defined what constitutes a new or novel activity / product / process / clinical indication?</w:t>
      </w:r>
    </w:p>
    <w:p w14:paraId="408ABDD4" w14:textId="77777777" w:rsidR="008F1340" w:rsidRPr="00BB4D81" w:rsidRDefault="008F1340" w:rsidP="008F1340">
      <w:r w:rsidRPr="00BB4D81">
        <w:rPr>
          <w:noProof/>
          <w:lang w:eastAsia="en-IE"/>
        </w:rPr>
        <w:drawing>
          <wp:inline distT="0" distB="0" distL="0" distR="0" wp14:anchorId="0B591EDE" wp14:editId="7501DFEB">
            <wp:extent cx="5388428" cy="1016000"/>
            <wp:effectExtent l="0" t="0" r="3175" b="0"/>
            <wp:docPr id="30" name="Picture 3" descr="table2604352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352950.png"/>
                    <pic:cNvPicPr>
                      <a:picLocks noChangeAspect="1"/>
                    </pic:cNvPicPr>
                  </pic:nvPicPr>
                  <pic:blipFill>
                    <a:blip r:embed="rId30"/>
                    <a:stretch>
                      <a:fillRect/>
                    </a:stretch>
                  </pic:blipFill>
                  <pic:spPr>
                    <a:xfrm>
                      <a:off x="0" y="0"/>
                      <a:ext cx="5388428" cy="1016000"/>
                    </a:xfrm>
                    <a:prstGeom prst="rect">
                      <a:avLst/>
                    </a:prstGeom>
                  </pic:spPr>
                </pic:pic>
              </a:graphicData>
            </a:graphic>
          </wp:inline>
        </w:drawing>
      </w:r>
    </w:p>
    <w:p w14:paraId="25A14D7A" w14:textId="77777777" w:rsidR="008F1340" w:rsidRPr="00BB4D81" w:rsidRDefault="008F1340" w:rsidP="008F1340">
      <w:r w:rsidRPr="00BB4D81">
        <w:t>Q16: Is the process for managing applications for authorisation of new or novel activities / products / processes / clinical indications linked to the inspection system?</w:t>
      </w:r>
    </w:p>
    <w:p w14:paraId="38260488" w14:textId="77777777" w:rsidR="008F1340" w:rsidRPr="00BB4D81" w:rsidRDefault="008F1340" w:rsidP="008F1340">
      <w:r w:rsidRPr="00BB4D81">
        <w:rPr>
          <w:noProof/>
          <w:lang w:eastAsia="en-IE"/>
        </w:rPr>
        <w:drawing>
          <wp:inline distT="0" distB="0" distL="0" distR="0" wp14:anchorId="63F84031" wp14:editId="45C38186">
            <wp:extent cx="5388428" cy="1016000"/>
            <wp:effectExtent l="0" t="0" r="3175" b="0"/>
            <wp:docPr id="31" name="Picture 3" descr="table2604368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368440.png"/>
                    <pic:cNvPicPr>
                      <a:picLocks noChangeAspect="1"/>
                    </pic:cNvPicPr>
                  </pic:nvPicPr>
                  <pic:blipFill>
                    <a:blip r:embed="rId31"/>
                    <a:stretch>
                      <a:fillRect/>
                    </a:stretch>
                  </pic:blipFill>
                  <pic:spPr>
                    <a:xfrm>
                      <a:off x="0" y="0"/>
                      <a:ext cx="5388428" cy="1016000"/>
                    </a:xfrm>
                    <a:prstGeom prst="rect">
                      <a:avLst/>
                    </a:prstGeom>
                  </pic:spPr>
                </pic:pic>
              </a:graphicData>
            </a:graphic>
          </wp:inline>
        </w:drawing>
      </w:r>
    </w:p>
    <w:p w14:paraId="2588ACA0" w14:textId="76B43016" w:rsidR="00FE75DF" w:rsidRDefault="00FE75DF">
      <w:r>
        <w:br w:type="page"/>
      </w:r>
    </w:p>
    <w:p w14:paraId="07533A17" w14:textId="77777777" w:rsidR="008F1340" w:rsidRPr="00BB4D81" w:rsidRDefault="008F1340" w:rsidP="008F1340">
      <w:r w:rsidRPr="00BB4D81">
        <w:t>Section 2: System for preparation process authorisation</w:t>
      </w:r>
    </w:p>
    <w:p w14:paraId="1EE82E2B" w14:textId="77777777" w:rsidR="008F1340" w:rsidRPr="00BB4D81" w:rsidRDefault="008F1340" w:rsidP="008F1340">
      <w:r w:rsidRPr="00BB4D81">
        <w:t>Q1: Name of Competent Authority</w:t>
      </w:r>
    </w:p>
    <w:p w14:paraId="4C3FE8BC" w14:textId="77777777" w:rsidR="008F1340" w:rsidRPr="00BB4D81" w:rsidRDefault="008F1340" w:rsidP="008F1340">
      <w:r w:rsidRPr="00BB4D81">
        <w:t>Q2: Does your Competent Authority have guidance for blood or tissue establishments relating to the process of applying for authorisation?</w:t>
      </w:r>
    </w:p>
    <w:p w14:paraId="4AD04837" w14:textId="77777777" w:rsidR="008F1340" w:rsidRPr="00BB4D81" w:rsidRDefault="008F1340" w:rsidP="008F1340">
      <w:r w:rsidRPr="00BB4D81">
        <w:rPr>
          <w:noProof/>
          <w:lang w:eastAsia="en-IE"/>
        </w:rPr>
        <w:drawing>
          <wp:inline distT="0" distB="0" distL="0" distR="0" wp14:anchorId="784CD6D4" wp14:editId="36DA8B76">
            <wp:extent cx="5388428" cy="1016000"/>
            <wp:effectExtent l="0" t="0" r="3175" b="0"/>
            <wp:docPr id="32" name="Picture 3" descr="table2604366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366220.png"/>
                    <pic:cNvPicPr>
                      <a:picLocks noChangeAspect="1"/>
                    </pic:cNvPicPr>
                  </pic:nvPicPr>
                  <pic:blipFill>
                    <a:blip r:embed="rId32"/>
                    <a:stretch>
                      <a:fillRect/>
                    </a:stretch>
                  </pic:blipFill>
                  <pic:spPr>
                    <a:xfrm>
                      <a:off x="0" y="0"/>
                      <a:ext cx="5388428" cy="1016000"/>
                    </a:xfrm>
                    <a:prstGeom prst="rect">
                      <a:avLst/>
                    </a:prstGeom>
                  </pic:spPr>
                </pic:pic>
              </a:graphicData>
            </a:graphic>
          </wp:inline>
        </w:drawing>
      </w:r>
    </w:p>
    <w:p w14:paraId="336F509B" w14:textId="77777777" w:rsidR="008F1340" w:rsidRPr="00BB4D81" w:rsidRDefault="008F1340" w:rsidP="008F1340">
      <w:r w:rsidRPr="00BB4D81">
        <w:t>Q3: Is the application process defined for the following cases:</w:t>
      </w:r>
    </w:p>
    <w:p w14:paraId="50740FFE" w14:textId="77777777" w:rsidR="008F1340" w:rsidRPr="00BB4D81" w:rsidRDefault="008F1340" w:rsidP="008F1340">
      <w:r w:rsidRPr="00BB4D81">
        <w:rPr>
          <w:noProof/>
          <w:lang w:eastAsia="en-IE"/>
        </w:rPr>
        <w:drawing>
          <wp:inline distT="0" distB="0" distL="0" distR="0" wp14:anchorId="7924FEDD" wp14:editId="1B524BB0">
            <wp:extent cx="5388428" cy="1016000"/>
            <wp:effectExtent l="0" t="0" r="3175" b="0"/>
            <wp:docPr id="33" name="Picture 3" descr="table260443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432010.png"/>
                    <pic:cNvPicPr>
                      <a:picLocks noChangeAspect="1"/>
                    </pic:cNvPicPr>
                  </pic:nvPicPr>
                  <pic:blipFill>
                    <a:blip r:embed="rId33"/>
                    <a:stretch>
                      <a:fillRect/>
                    </a:stretch>
                  </pic:blipFill>
                  <pic:spPr>
                    <a:xfrm>
                      <a:off x="0" y="0"/>
                      <a:ext cx="5388428" cy="1016000"/>
                    </a:xfrm>
                    <a:prstGeom prst="rect">
                      <a:avLst/>
                    </a:prstGeom>
                  </pic:spPr>
                </pic:pic>
              </a:graphicData>
            </a:graphic>
          </wp:inline>
        </w:drawing>
      </w:r>
    </w:p>
    <w:p w14:paraId="0F965A45" w14:textId="77777777" w:rsidR="008F1340" w:rsidRPr="00BB4D81" w:rsidRDefault="008F1340" w:rsidP="008F1340">
      <w:r w:rsidRPr="00BB4D81">
        <w:t>Q4: What information is required is required to be submitted in support of an application for authorisation?</w:t>
      </w:r>
    </w:p>
    <w:p w14:paraId="1611B820" w14:textId="77777777" w:rsidR="008F1340" w:rsidRPr="00BB4D81" w:rsidRDefault="008F1340" w:rsidP="008F1340">
      <w:r w:rsidRPr="00BB4D81">
        <w:rPr>
          <w:noProof/>
          <w:lang w:eastAsia="en-IE"/>
        </w:rPr>
        <w:drawing>
          <wp:inline distT="0" distB="0" distL="0" distR="0" wp14:anchorId="3F2E6BE4" wp14:editId="72EDD235">
            <wp:extent cx="5388428" cy="4109357"/>
            <wp:effectExtent l="0" t="0" r="3175" b="5715"/>
            <wp:docPr id="34" name="Picture 3" descr="table26044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494010.png"/>
                    <pic:cNvPicPr>
                      <a:picLocks noChangeAspect="1"/>
                    </pic:cNvPicPr>
                  </pic:nvPicPr>
                  <pic:blipFill>
                    <a:blip r:embed="rId11"/>
                    <a:stretch>
                      <a:fillRect/>
                    </a:stretch>
                  </pic:blipFill>
                  <pic:spPr>
                    <a:xfrm>
                      <a:off x="0" y="0"/>
                      <a:ext cx="5388428" cy="4109357"/>
                    </a:xfrm>
                    <a:prstGeom prst="rect">
                      <a:avLst/>
                    </a:prstGeom>
                  </pic:spPr>
                </pic:pic>
              </a:graphicData>
            </a:graphic>
          </wp:inline>
        </w:drawing>
      </w:r>
    </w:p>
    <w:p w14:paraId="40D159CC" w14:textId="77777777" w:rsidR="008F1340" w:rsidRPr="00BB4D81" w:rsidRDefault="008F1340" w:rsidP="008F1340">
      <w:r w:rsidRPr="00BB4D81">
        <w:t>Q5: Are the requirements for blood establishments / tissue establishments relating to applications for authorisation defined within</w:t>
      </w:r>
    </w:p>
    <w:p w14:paraId="3A6ECD76" w14:textId="77777777" w:rsidR="008F1340" w:rsidRPr="00BB4D81" w:rsidRDefault="008F1340" w:rsidP="008F1340">
      <w:r w:rsidRPr="00BB4D81">
        <w:rPr>
          <w:noProof/>
          <w:lang w:eastAsia="en-IE"/>
        </w:rPr>
        <w:drawing>
          <wp:inline distT="0" distB="0" distL="0" distR="0" wp14:anchorId="28A626ED" wp14:editId="09302CB1">
            <wp:extent cx="5388428" cy="1578428"/>
            <wp:effectExtent l="0" t="0" r="3175" b="3175"/>
            <wp:docPr id="35" name="Picture 3" descr="table260454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542080.png"/>
                    <pic:cNvPicPr>
                      <a:picLocks noChangeAspect="1"/>
                    </pic:cNvPicPr>
                  </pic:nvPicPr>
                  <pic:blipFill>
                    <a:blip r:embed="rId34"/>
                    <a:stretch>
                      <a:fillRect/>
                    </a:stretch>
                  </pic:blipFill>
                  <pic:spPr>
                    <a:xfrm>
                      <a:off x="0" y="0"/>
                      <a:ext cx="5388428" cy="1578428"/>
                    </a:xfrm>
                    <a:prstGeom prst="rect">
                      <a:avLst/>
                    </a:prstGeom>
                  </pic:spPr>
                </pic:pic>
              </a:graphicData>
            </a:graphic>
          </wp:inline>
        </w:drawing>
      </w:r>
    </w:p>
    <w:p w14:paraId="47CD065A" w14:textId="77777777" w:rsidR="008F1340" w:rsidRPr="00BB4D81" w:rsidRDefault="008F1340" w:rsidP="008F1340">
      <w:r w:rsidRPr="00BB4D81">
        <w:t>Q6: Does your Competent Authority have a system for the risk categorisation or grading of the following?</w:t>
      </w:r>
    </w:p>
    <w:p w14:paraId="1F798669" w14:textId="77777777" w:rsidR="008F1340" w:rsidRPr="00BB4D81" w:rsidRDefault="008F1340" w:rsidP="008F1340">
      <w:r w:rsidRPr="00BB4D81">
        <w:rPr>
          <w:noProof/>
          <w:lang w:eastAsia="en-IE"/>
        </w:rPr>
        <w:drawing>
          <wp:inline distT="0" distB="0" distL="0" distR="0" wp14:anchorId="182F2692" wp14:editId="63E75F37">
            <wp:extent cx="5388428" cy="1442357"/>
            <wp:effectExtent l="0" t="0" r="3175" b="5715"/>
            <wp:docPr id="36" name="Picture 3" descr="table2604609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609670.png"/>
                    <pic:cNvPicPr>
                      <a:picLocks noChangeAspect="1"/>
                    </pic:cNvPicPr>
                  </pic:nvPicPr>
                  <pic:blipFill>
                    <a:blip r:embed="rId35"/>
                    <a:stretch>
                      <a:fillRect/>
                    </a:stretch>
                  </pic:blipFill>
                  <pic:spPr>
                    <a:xfrm>
                      <a:off x="0" y="0"/>
                      <a:ext cx="5388428" cy="1442357"/>
                    </a:xfrm>
                    <a:prstGeom prst="rect">
                      <a:avLst/>
                    </a:prstGeom>
                  </pic:spPr>
                </pic:pic>
              </a:graphicData>
            </a:graphic>
          </wp:inline>
        </w:drawing>
      </w:r>
    </w:p>
    <w:p w14:paraId="14262A36" w14:textId="77777777" w:rsidR="008F1340" w:rsidRPr="00BB4D81" w:rsidRDefault="008F1340" w:rsidP="008F1340">
      <w:r w:rsidRPr="00BB4D81">
        <w:t>Q7: Does the outcome of the risk assessment determine specific requirements for approval of the application?</w:t>
      </w:r>
    </w:p>
    <w:p w14:paraId="172E18B6" w14:textId="77777777" w:rsidR="008F1340" w:rsidRPr="00BB4D81" w:rsidRDefault="008F1340" w:rsidP="008F1340">
      <w:r w:rsidRPr="00BB4D81">
        <w:rPr>
          <w:noProof/>
          <w:lang w:eastAsia="en-IE"/>
        </w:rPr>
        <w:drawing>
          <wp:inline distT="0" distB="0" distL="0" distR="0" wp14:anchorId="3E3CB951" wp14:editId="3A9E2753">
            <wp:extent cx="5388428" cy="1297214"/>
            <wp:effectExtent l="0" t="0" r="3175" b="0"/>
            <wp:docPr id="37" name="Picture 3" descr="table260494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941030.png"/>
                    <pic:cNvPicPr>
                      <a:picLocks noChangeAspect="1"/>
                    </pic:cNvPicPr>
                  </pic:nvPicPr>
                  <pic:blipFill>
                    <a:blip r:embed="rId36"/>
                    <a:stretch>
                      <a:fillRect/>
                    </a:stretch>
                  </pic:blipFill>
                  <pic:spPr>
                    <a:xfrm>
                      <a:off x="0" y="0"/>
                      <a:ext cx="5388428" cy="1297214"/>
                    </a:xfrm>
                    <a:prstGeom prst="rect">
                      <a:avLst/>
                    </a:prstGeom>
                  </pic:spPr>
                </pic:pic>
              </a:graphicData>
            </a:graphic>
          </wp:inline>
        </w:drawing>
      </w:r>
    </w:p>
    <w:p w14:paraId="5E76AF58" w14:textId="77777777" w:rsidR="008F1340" w:rsidRPr="00BB4D81" w:rsidRDefault="008F1340" w:rsidP="008F1340">
      <w:r w:rsidRPr="00BB4D81">
        <w:t>Q8: Are risk categories defined within:</w:t>
      </w:r>
    </w:p>
    <w:p w14:paraId="0A31A9C6" w14:textId="62E0801B" w:rsidR="00FE75DF" w:rsidRDefault="008F1340" w:rsidP="008F1340">
      <w:r w:rsidRPr="00BB4D81">
        <w:rPr>
          <w:noProof/>
          <w:lang w:eastAsia="en-IE"/>
        </w:rPr>
        <w:drawing>
          <wp:inline distT="0" distB="0" distL="0" distR="0" wp14:anchorId="60577F41" wp14:editId="17B9D43B">
            <wp:extent cx="5388428" cy="1578428"/>
            <wp:effectExtent l="0" t="0" r="3175" b="3175"/>
            <wp:docPr id="38" name="Picture 3" descr="table260495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956790.png"/>
                    <pic:cNvPicPr>
                      <a:picLocks noChangeAspect="1"/>
                    </pic:cNvPicPr>
                  </pic:nvPicPr>
                  <pic:blipFill>
                    <a:blip r:embed="rId37"/>
                    <a:stretch>
                      <a:fillRect/>
                    </a:stretch>
                  </pic:blipFill>
                  <pic:spPr>
                    <a:xfrm>
                      <a:off x="0" y="0"/>
                      <a:ext cx="5388428" cy="1578428"/>
                    </a:xfrm>
                    <a:prstGeom prst="rect">
                      <a:avLst/>
                    </a:prstGeom>
                  </pic:spPr>
                </pic:pic>
              </a:graphicData>
            </a:graphic>
          </wp:inline>
        </w:drawing>
      </w:r>
    </w:p>
    <w:p w14:paraId="599F7156" w14:textId="77777777" w:rsidR="00FE75DF" w:rsidRDefault="00FE75DF">
      <w:r>
        <w:br w:type="page"/>
      </w:r>
    </w:p>
    <w:p w14:paraId="2E4ACC80" w14:textId="77777777" w:rsidR="008F1340" w:rsidRPr="00BB4D81" w:rsidRDefault="008F1340" w:rsidP="008F1340">
      <w:r w:rsidRPr="00BB4D81">
        <w:t>Q9: Is your Competent Authority aware of the outputs of the EuroGTPII joint action?</w:t>
      </w:r>
    </w:p>
    <w:p w14:paraId="06940D7D" w14:textId="77777777" w:rsidR="008F1340" w:rsidRPr="00BB4D81" w:rsidRDefault="008F1340" w:rsidP="008F1340">
      <w:r w:rsidRPr="00BB4D81">
        <w:rPr>
          <w:noProof/>
          <w:lang w:eastAsia="en-IE"/>
        </w:rPr>
        <w:drawing>
          <wp:inline distT="0" distB="0" distL="0" distR="0" wp14:anchorId="4F0F9953" wp14:editId="2479E058">
            <wp:extent cx="5388428" cy="1016000"/>
            <wp:effectExtent l="0" t="0" r="3175" b="0"/>
            <wp:docPr id="39" name="Picture 3" descr="table260501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5010400.png"/>
                    <pic:cNvPicPr>
                      <a:picLocks noChangeAspect="1"/>
                    </pic:cNvPicPr>
                  </pic:nvPicPr>
                  <pic:blipFill>
                    <a:blip r:embed="rId38"/>
                    <a:stretch>
                      <a:fillRect/>
                    </a:stretch>
                  </pic:blipFill>
                  <pic:spPr>
                    <a:xfrm>
                      <a:off x="0" y="0"/>
                      <a:ext cx="5388428" cy="1016000"/>
                    </a:xfrm>
                    <a:prstGeom prst="rect">
                      <a:avLst/>
                    </a:prstGeom>
                  </pic:spPr>
                </pic:pic>
              </a:graphicData>
            </a:graphic>
          </wp:inline>
        </w:drawing>
      </w:r>
    </w:p>
    <w:p w14:paraId="78D636B8" w14:textId="77777777" w:rsidR="008F1340" w:rsidRPr="00BB4D81" w:rsidRDefault="008F1340" w:rsidP="008F1340">
      <w:r w:rsidRPr="00BB4D81">
        <w:t>Q10: Does your Competent Authority currently intend to use the EuroGTPII tool as a basis for risk assessment in a regulatory context?</w:t>
      </w:r>
    </w:p>
    <w:p w14:paraId="4CFE2788" w14:textId="77777777" w:rsidR="008F1340" w:rsidRPr="00BB4D81" w:rsidRDefault="008F1340" w:rsidP="008F1340">
      <w:r w:rsidRPr="00BB4D81">
        <w:rPr>
          <w:noProof/>
          <w:lang w:eastAsia="en-IE"/>
        </w:rPr>
        <w:drawing>
          <wp:inline distT="0" distB="0" distL="0" distR="0" wp14:anchorId="72A0459D" wp14:editId="099B9A57">
            <wp:extent cx="5388428" cy="1016000"/>
            <wp:effectExtent l="0" t="0" r="3175" b="0"/>
            <wp:docPr id="40" name="Picture 3" descr="table2605019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5019950.png"/>
                    <pic:cNvPicPr>
                      <a:picLocks noChangeAspect="1"/>
                    </pic:cNvPicPr>
                  </pic:nvPicPr>
                  <pic:blipFill>
                    <a:blip r:embed="rId39"/>
                    <a:stretch>
                      <a:fillRect/>
                    </a:stretch>
                  </pic:blipFill>
                  <pic:spPr>
                    <a:xfrm>
                      <a:off x="0" y="0"/>
                      <a:ext cx="5388428" cy="1016000"/>
                    </a:xfrm>
                    <a:prstGeom prst="rect">
                      <a:avLst/>
                    </a:prstGeom>
                  </pic:spPr>
                </pic:pic>
              </a:graphicData>
            </a:graphic>
          </wp:inline>
        </w:drawing>
      </w:r>
    </w:p>
    <w:p w14:paraId="4D3F5B75" w14:textId="77777777" w:rsidR="008F1340" w:rsidRPr="00BB4D81" w:rsidRDefault="008F1340" w:rsidP="008F1340">
      <w:r w:rsidRPr="00BB4D81">
        <w:t>Q11: Are the risk categories defined by EuroGTPII comparable to those within your Competent Authority for risk assessment?</w:t>
      </w:r>
    </w:p>
    <w:p w14:paraId="12A4632F" w14:textId="77777777" w:rsidR="008F1340" w:rsidRPr="00BB4D81" w:rsidRDefault="008F1340" w:rsidP="008F1340">
      <w:r w:rsidRPr="00BB4D81">
        <w:rPr>
          <w:noProof/>
          <w:lang w:eastAsia="en-IE"/>
        </w:rPr>
        <w:drawing>
          <wp:inline distT="0" distB="0" distL="0" distR="0" wp14:anchorId="317CAA49" wp14:editId="169D9295">
            <wp:extent cx="5388428" cy="1016000"/>
            <wp:effectExtent l="0" t="0" r="3175" b="0"/>
            <wp:docPr id="41" name="Picture 3" descr="table2605030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5030080.png"/>
                    <pic:cNvPicPr>
                      <a:picLocks noChangeAspect="1"/>
                    </pic:cNvPicPr>
                  </pic:nvPicPr>
                  <pic:blipFill>
                    <a:blip r:embed="rId40"/>
                    <a:stretch>
                      <a:fillRect/>
                    </a:stretch>
                  </pic:blipFill>
                  <pic:spPr>
                    <a:xfrm>
                      <a:off x="0" y="0"/>
                      <a:ext cx="5388428" cy="1016000"/>
                    </a:xfrm>
                    <a:prstGeom prst="rect">
                      <a:avLst/>
                    </a:prstGeom>
                  </pic:spPr>
                </pic:pic>
              </a:graphicData>
            </a:graphic>
          </wp:inline>
        </w:drawing>
      </w:r>
    </w:p>
    <w:p w14:paraId="477DC715" w14:textId="77777777" w:rsidR="008F1340" w:rsidRPr="00BB4D81" w:rsidRDefault="008F1340" w:rsidP="008F1340">
      <w:r w:rsidRPr="00BB4D81">
        <w:t>Q12: Where are the risk categories aligned?</w:t>
      </w:r>
    </w:p>
    <w:p w14:paraId="3F4B55A2" w14:textId="77777777" w:rsidR="008F1340" w:rsidRPr="00BB4D81" w:rsidRDefault="008F1340" w:rsidP="008F1340">
      <w:r w:rsidRPr="00BB4D81">
        <w:rPr>
          <w:noProof/>
          <w:lang w:eastAsia="en-IE"/>
        </w:rPr>
        <w:drawing>
          <wp:inline distT="0" distB="0" distL="0" distR="0" wp14:anchorId="360D0C5C" wp14:editId="2DA00209">
            <wp:extent cx="5388428" cy="1859642"/>
            <wp:effectExtent l="0" t="0" r="3175" b="7620"/>
            <wp:docPr id="42" name="Picture 3" descr="table2605050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5050180.png"/>
                    <pic:cNvPicPr>
                      <a:picLocks noChangeAspect="1"/>
                    </pic:cNvPicPr>
                  </pic:nvPicPr>
                  <pic:blipFill>
                    <a:blip r:embed="rId41"/>
                    <a:stretch>
                      <a:fillRect/>
                    </a:stretch>
                  </pic:blipFill>
                  <pic:spPr>
                    <a:xfrm>
                      <a:off x="0" y="0"/>
                      <a:ext cx="5388428" cy="1859642"/>
                    </a:xfrm>
                    <a:prstGeom prst="rect">
                      <a:avLst/>
                    </a:prstGeom>
                  </pic:spPr>
                </pic:pic>
              </a:graphicData>
            </a:graphic>
          </wp:inline>
        </w:drawing>
      </w:r>
    </w:p>
    <w:p w14:paraId="4820FBFF" w14:textId="6451495D" w:rsidR="00FE75DF" w:rsidRDefault="00FE75DF">
      <w:r>
        <w:br w:type="page"/>
      </w:r>
    </w:p>
    <w:p w14:paraId="34703ECD" w14:textId="77777777" w:rsidR="008F1340" w:rsidRPr="00BB4D81" w:rsidRDefault="008F1340" w:rsidP="008F1340">
      <w:r w:rsidRPr="00BB4D81">
        <w:t>Section 3: Review and authorisation</w:t>
      </w:r>
    </w:p>
    <w:p w14:paraId="51261E28" w14:textId="77777777" w:rsidR="008F1340" w:rsidRPr="00BB4D81" w:rsidRDefault="008F1340" w:rsidP="008F1340">
      <w:r w:rsidRPr="00BB4D81">
        <w:t>Q1: Name of Competent Authority</w:t>
      </w:r>
    </w:p>
    <w:p w14:paraId="3E5FBCA6" w14:textId="77777777" w:rsidR="008F1340" w:rsidRPr="00BB4D81" w:rsidRDefault="008F1340" w:rsidP="008F1340">
      <w:r w:rsidRPr="00BB4D81">
        <w:t>Q2: In your Member State, is there a specific set of documents which provide guidance to Competent Authorities or other relevant bodies in relation to the review / evaluation of data to be submitted to support an application for product authorisation?</w:t>
      </w:r>
    </w:p>
    <w:p w14:paraId="79D4F728" w14:textId="77777777" w:rsidR="008F1340" w:rsidRPr="00BB4D81" w:rsidRDefault="008F1340" w:rsidP="008F1340">
      <w:r w:rsidRPr="00BB4D81">
        <w:rPr>
          <w:noProof/>
          <w:lang w:eastAsia="en-IE"/>
        </w:rPr>
        <w:drawing>
          <wp:inline distT="0" distB="0" distL="0" distR="0" wp14:anchorId="6E7ADA39" wp14:editId="7A12BD6E">
            <wp:extent cx="5388428" cy="1016000"/>
            <wp:effectExtent l="0" t="0" r="3175" b="0"/>
            <wp:docPr id="44" name="Picture 3" descr="table2604786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786840.png"/>
                    <pic:cNvPicPr>
                      <a:picLocks noChangeAspect="1"/>
                    </pic:cNvPicPr>
                  </pic:nvPicPr>
                  <pic:blipFill>
                    <a:blip r:embed="rId42"/>
                    <a:stretch>
                      <a:fillRect/>
                    </a:stretch>
                  </pic:blipFill>
                  <pic:spPr>
                    <a:xfrm>
                      <a:off x="0" y="0"/>
                      <a:ext cx="5388428" cy="1016000"/>
                    </a:xfrm>
                    <a:prstGeom prst="rect">
                      <a:avLst/>
                    </a:prstGeom>
                  </pic:spPr>
                </pic:pic>
              </a:graphicData>
            </a:graphic>
          </wp:inline>
        </w:drawing>
      </w:r>
    </w:p>
    <w:p w14:paraId="7A1AA4FA" w14:textId="77777777" w:rsidR="008F1340" w:rsidRPr="00BB4D81" w:rsidRDefault="008F1340" w:rsidP="008F1340">
      <w:r w:rsidRPr="00BB4D81">
        <w:t xml:space="preserve">Q3: If you answered yes to the above, does the guidance include; </w:t>
      </w:r>
    </w:p>
    <w:p w14:paraId="6B37F6F1" w14:textId="442C50CA" w:rsidR="008F1340" w:rsidRPr="00BB4D81" w:rsidRDefault="008F1340" w:rsidP="008F1340">
      <w:r w:rsidRPr="00BB4D81">
        <w:rPr>
          <w:noProof/>
          <w:lang w:eastAsia="en-IE"/>
        </w:rPr>
        <w:drawing>
          <wp:inline distT="0" distB="0" distL="0" distR="0" wp14:anchorId="3BFA2790" wp14:editId="06CC89DF">
            <wp:extent cx="5388428" cy="1723571"/>
            <wp:effectExtent l="0" t="0" r="3175" b="0"/>
            <wp:docPr id="45" name="Picture 3" descr="table2604795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795330.png"/>
                    <pic:cNvPicPr>
                      <a:picLocks noChangeAspect="1"/>
                    </pic:cNvPicPr>
                  </pic:nvPicPr>
                  <pic:blipFill>
                    <a:blip r:embed="rId43"/>
                    <a:stretch>
                      <a:fillRect/>
                    </a:stretch>
                  </pic:blipFill>
                  <pic:spPr>
                    <a:xfrm>
                      <a:off x="0" y="0"/>
                      <a:ext cx="5388428" cy="1723571"/>
                    </a:xfrm>
                    <a:prstGeom prst="rect">
                      <a:avLst/>
                    </a:prstGeom>
                  </pic:spPr>
                </pic:pic>
              </a:graphicData>
            </a:graphic>
          </wp:inline>
        </w:drawing>
      </w:r>
    </w:p>
    <w:p w14:paraId="73242A59" w14:textId="0FF092C1" w:rsidR="0000058B" w:rsidRPr="00BB4D81" w:rsidRDefault="0000058B" w:rsidP="0000058B">
      <w:r w:rsidRPr="00BB4D81">
        <w:t xml:space="preserve">* </w:t>
      </w:r>
      <w:r w:rsidRPr="00BB4D81">
        <w:rPr>
          <w:i/>
        </w:rPr>
        <w:t>This question was</w:t>
      </w:r>
      <w:r w:rsidR="009A183E" w:rsidRPr="00BB4D81">
        <w:rPr>
          <w:i/>
        </w:rPr>
        <w:t xml:space="preserve"> in fact </w:t>
      </w:r>
      <w:r w:rsidRPr="00BB4D81">
        <w:rPr>
          <w:i/>
        </w:rPr>
        <w:t>only correctly answered by 3 CAs, as there was a pre-requisite to have answered yes to Q2 prior to answering Q3.</w:t>
      </w:r>
    </w:p>
    <w:p w14:paraId="5D095996" w14:textId="77777777" w:rsidR="008F1340" w:rsidRPr="00BB4D81" w:rsidRDefault="008F1340" w:rsidP="008F1340">
      <w:r w:rsidRPr="00BB4D81">
        <w:t>Q4: In your Member State, are the minimum requirements for qualification defined, for those Competent Authority personnel involved in the review / evaluation of applications for authorisation?</w:t>
      </w:r>
    </w:p>
    <w:p w14:paraId="4ABEA7D5" w14:textId="77777777" w:rsidR="008F1340" w:rsidRPr="00BB4D81" w:rsidRDefault="008F1340" w:rsidP="008F1340">
      <w:r w:rsidRPr="00BB4D81">
        <w:rPr>
          <w:noProof/>
          <w:lang w:eastAsia="en-IE"/>
        </w:rPr>
        <w:drawing>
          <wp:inline distT="0" distB="0" distL="0" distR="0" wp14:anchorId="6FD1D938" wp14:editId="608735CC">
            <wp:extent cx="5388428" cy="1016000"/>
            <wp:effectExtent l="0" t="0" r="3175" b="0"/>
            <wp:docPr id="46" name="Picture 3" descr="table2604807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807740.png"/>
                    <pic:cNvPicPr>
                      <a:picLocks noChangeAspect="1"/>
                    </pic:cNvPicPr>
                  </pic:nvPicPr>
                  <pic:blipFill>
                    <a:blip r:embed="rId44"/>
                    <a:stretch>
                      <a:fillRect/>
                    </a:stretch>
                  </pic:blipFill>
                  <pic:spPr>
                    <a:xfrm>
                      <a:off x="0" y="0"/>
                      <a:ext cx="5388428" cy="1016000"/>
                    </a:xfrm>
                    <a:prstGeom prst="rect">
                      <a:avLst/>
                    </a:prstGeom>
                  </pic:spPr>
                </pic:pic>
              </a:graphicData>
            </a:graphic>
          </wp:inline>
        </w:drawing>
      </w:r>
    </w:p>
    <w:p w14:paraId="0F397624" w14:textId="77777777" w:rsidR="008F1340" w:rsidRPr="00BB4D81" w:rsidRDefault="008F1340" w:rsidP="008F1340">
      <w:r w:rsidRPr="00BB4D81">
        <w:t>Q5: Does your Competent Authority use external (third party) experts or expert panels in the review / evaluation of applications for authorisation?</w:t>
      </w:r>
    </w:p>
    <w:p w14:paraId="2A75FBCD" w14:textId="77777777" w:rsidR="008F1340" w:rsidRPr="00BB4D81" w:rsidRDefault="008F1340" w:rsidP="008F1340">
      <w:r w:rsidRPr="00BB4D81">
        <w:rPr>
          <w:noProof/>
          <w:lang w:eastAsia="en-IE"/>
        </w:rPr>
        <w:drawing>
          <wp:inline distT="0" distB="0" distL="0" distR="0" wp14:anchorId="3E27C813" wp14:editId="17334923">
            <wp:extent cx="5388428" cy="1016000"/>
            <wp:effectExtent l="0" t="0" r="3175" b="0"/>
            <wp:docPr id="47" name="Picture 3" descr="table260482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823400.png"/>
                    <pic:cNvPicPr>
                      <a:picLocks noChangeAspect="1"/>
                    </pic:cNvPicPr>
                  </pic:nvPicPr>
                  <pic:blipFill>
                    <a:blip r:embed="rId45"/>
                    <a:stretch>
                      <a:fillRect/>
                    </a:stretch>
                  </pic:blipFill>
                  <pic:spPr>
                    <a:xfrm>
                      <a:off x="0" y="0"/>
                      <a:ext cx="5388428" cy="1016000"/>
                    </a:xfrm>
                    <a:prstGeom prst="rect">
                      <a:avLst/>
                    </a:prstGeom>
                  </pic:spPr>
                </pic:pic>
              </a:graphicData>
            </a:graphic>
          </wp:inline>
        </w:drawing>
      </w:r>
    </w:p>
    <w:p w14:paraId="0B49AE35" w14:textId="77777777" w:rsidR="008F1340" w:rsidRPr="00BB4D81" w:rsidRDefault="008F1340" w:rsidP="008F1340">
      <w:r w:rsidRPr="00BB4D81">
        <w:t>Q6: Does your process for the review of applications for authorisation involve the use of any computer based systems for the evaluation of submitted data (by using defined algorithms or in any other way)?</w:t>
      </w:r>
    </w:p>
    <w:p w14:paraId="24ACECB7" w14:textId="77777777" w:rsidR="008F1340" w:rsidRPr="00BB4D81" w:rsidRDefault="008F1340" w:rsidP="008F1340">
      <w:r w:rsidRPr="00BB4D81">
        <w:rPr>
          <w:noProof/>
          <w:lang w:eastAsia="en-IE"/>
        </w:rPr>
        <w:drawing>
          <wp:inline distT="0" distB="0" distL="0" distR="0" wp14:anchorId="25897B17" wp14:editId="2643DDC0">
            <wp:extent cx="5388428" cy="1297214"/>
            <wp:effectExtent l="0" t="0" r="3175" b="0"/>
            <wp:docPr id="48" name="Picture 3" descr="table2604805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805720.png"/>
                    <pic:cNvPicPr>
                      <a:picLocks noChangeAspect="1"/>
                    </pic:cNvPicPr>
                  </pic:nvPicPr>
                  <pic:blipFill>
                    <a:blip r:embed="rId46"/>
                    <a:stretch>
                      <a:fillRect/>
                    </a:stretch>
                  </pic:blipFill>
                  <pic:spPr>
                    <a:xfrm>
                      <a:off x="0" y="0"/>
                      <a:ext cx="5388428" cy="1297214"/>
                    </a:xfrm>
                    <a:prstGeom prst="rect">
                      <a:avLst/>
                    </a:prstGeom>
                  </pic:spPr>
                </pic:pic>
              </a:graphicData>
            </a:graphic>
          </wp:inline>
        </w:drawing>
      </w:r>
    </w:p>
    <w:p w14:paraId="1901EA92" w14:textId="77777777" w:rsidR="008F1340" w:rsidRPr="00BB4D81" w:rsidRDefault="008F1340" w:rsidP="008F1340">
      <w:r w:rsidRPr="00BB4D81">
        <w:t>Q7: Does your authorisation framework provide for information sharing at an international level in order to support the review / evaluation of applications for authorisation?</w:t>
      </w:r>
    </w:p>
    <w:p w14:paraId="79909E74" w14:textId="77777777" w:rsidR="008F1340" w:rsidRPr="00BB4D81" w:rsidRDefault="008F1340" w:rsidP="008F1340">
      <w:r w:rsidRPr="00BB4D81">
        <w:rPr>
          <w:noProof/>
          <w:lang w:eastAsia="en-IE"/>
        </w:rPr>
        <w:drawing>
          <wp:inline distT="0" distB="0" distL="0" distR="0" wp14:anchorId="149ED1AA" wp14:editId="2BDE221A">
            <wp:extent cx="5388428" cy="1297214"/>
            <wp:effectExtent l="0" t="0" r="3175" b="0"/>
            <wp:docPr id="49" name="Picture 3" descr="table2604865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865170.png"/>
                    <pic:cNvPicPr>
                      <a:picLocks noChangeAspect="1"/>
                    </pic:cNvPicPr>
                  </pic:nvPicPr>
                  <pic:blipFill>
                    <a:blip r:embed="rId47"/>
                    <a:stretch>
                      <a:fillRect/>
                    </a:stretch>
                  </pic:blipFill>
                  <pic:spPr>
                    <a:xfrm>
                      <a:off x="0" y="0"/>
                      <a:ext cx="5388428" cy="1297214"/>
                    </a:xfrm>
                    <a:prstGeom prst="rect">
                      <a:avLst/>
                    </a:prstGeom>
                  </pic:spPr>
                </pic:pic>
              </a:graphicData>
            </a:graphic>
          </wp:inline>
        </w:drawing>
      </w:r>
    </w:p>
    <w:p w14:paraId="3C1BC9EB" w14:textId="77777777" w:rsidR="008F1340" w:rsidRPr="00BB4D81" w:rsidRDefault="008F1340" w:rsidP="008F1340">
      <w:r w:rsidRPr="00BB4D81">
        <w:t>Q8: Is there a mutually accessible database of national authorisations or details of the associated review / evaluation?</w:t>
      </w:r>
    </w:p>
    <w:p w14:paraId="111E06EE" w14:textId="77777777" w:rsidR="008F1340" w:rsidRPr="00BB4D81" w:rsidRDefault="008F1340" w:rsidP="008F1340">
      <w:r w:rsidRPr="00BB4D81">
        <w:rPr>
          <w:noProof/>
          <w:lang w:eastAsia="en-IE"/>
        </w:rPr>
        <w:drawing>
          <wp:inline distT="0" distB="0" distL="0" distR="0" wp14:anchorId="03CF13E5" wp14:editId="3A3AE081">
            <wp:extent cx="5388428" cy="1016000"/>
            <wp:effectExtent l="0" t="0" r="3175" b="0"/>
            <wp:docPr id="50" name="Picture 3" descr="table2604929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929450.png"/>
                    <pic:cNvPicPr>
                      <a:picLocks noChangeAspect="1"/>
                    </pic:cNvPicPr>
                  </pic:nvPicPr>
                  <pic:blipFill>
                    <a:blip r:embed="rId48"/>
                    <a:stretch>
                      <a:fillRect/>
                    </a:stretch>
                  </pic:blipFill>
                  <pic:spPr>
                    <a:xfrm>
                      <a:off x="0" y="0"/>
                      <a:ext cx="5388428" cy="1016000"/>
                    </a:xfrm>
                    <a:prstGeom prst="rect">
                      <a:avLst/>
                    </a:prstGeom>
                  </pic:spPr>
                </pic:pic>
              </a:graphicData>
            </a:graphic>
          </wp:inline>
        </w:drawing>
      </w:r>
    </w:p>
    <w:p w14:paraId="47FC81AC" w14:textId="77777777" w:rsidR="008F1340" w:rsidRPr="00BB4D81" w:rsidRDefault="008F1340" w:rsidP="008F1340">
      <w:r w:rsidRPr="00BB4D81">
        <w:t>Q9: Do you have any case studies or training materials available to demonstrate the risk categorisation and the subsequent review / evaluation of application for product authorisations?</w:t>
      </w:r>
    </w:p>
    <w:p w14:paraId="33DBEFD0" w14:textId="3D077994" w:rsidR="008F1340" w:rsidRPr="00BB4D81" w:rsidRDefault="008F1340" w:rsidP="008F1340">
      <w:pPr>
        <w:rPr>
          <w:lang w:eastAsia="en-US"/>
        </w:rPr>
      </w:pPr>
      <w:r w:rsidRPr="00BB4D81">
        <w:rPr>
          <w:noProof/>
          <w:lang w:eastAsia="en-IE"/>
        </w:rPr>
        <w:drawing>
          <wp:inline distT="0" distB="0" distL="0" distR="0" wp14:anchorId="7FC3840F" wp14:editId="0AAE336E">
            <wp:extent cx="5388428" cy="1016000"/>
            <wp:effectExtent l="0" t="0" r="3175" b="0"/>
            <wp:docPr id="51" name="Picture 3" descr="table260494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2604941740.png"/>
                    <pic:cNvPicPr>
                      <a:picLocks noChangeAspect="1"/>
                    </pic:cNvPicPr>
                  </pic:nvPicPr>
                  <pic:blipFill>
                    <a:blip r:embed="rId49"/>
                    <a:stretch>
                      <a:fillRect/>
                    </a:stretch>
                  </pic:blipFill>
                  <pic:spPr>
                    <a:xfrm>
                      <a:off x="0" y="0"/>
                      <a:ext cx="5388428" cy="1016000"/>
                    </a:xfrm>
                    <a:prstGeom prst="rect">
                      <a:avLst/>
                    </a:prstGeom>
                  </pic:spPr>
                </pic:pic>
              </a:graphicData>
            </a:graphic>
          </wp:inline>
        </w:drawing>
      </w:r>
    </w:p>
    <w:p w14:paraId="3A378A19" w14:textId="77777777" w:rsidR="00E53CF2" w:rsidRPr="00BB4D81" w:rsidRDefault="00E53CF2" w:rsidP="00E53CF2">
      <w:pPr>
        <w:rPr>
          <w:lang w:eastAsia="en-US"/>
        </w:rPr>
      </w:pPr>
    </w:p>
    <w:p w14:paraId="50B070C6" w14:textId="77777777" w:rsidR="000938DF" w:rsidRPr="00BB4D81" w:rsidRDefault="000938DF" w:rsidP="000938DF">
      <w:pPr>
        <w:rPr>
          <w:lang w:eastAsia="en-US"/>
        </w:rPr>
      </w:pPr>
    </w:p>
    <w:p w14:paraId="65751622" w14:textId="719D30B3" w:rsidR="00244D9B" w:rsidRDefault="00244D9B" w:rsidP="00E26899">
      <w:pPr>
        <w:spacing w:after="0"/>
        <w:jc w:val="both"/>
        <w:rPr>
          <w:rFonts w:ascii="Arial" w:hAnsi="Arial" w:cs="Arial"/>
          <w:color w:val="335B74" w:themeColor="text2"/>
          <w:sz w:val="20"/>
          <w:szCs w:val="20"/>
        </w:rPr>
      </w:pPr>
    </w:p>
    <w:p w14:paraId="366238F7" w14:textId="37E23B1D" w:rsidR="00764FED" w:rsidRDefault="00764FED" w:rsidP="00E26899">
      <w:pPr>
        <w:spacing w:after="0"/>
        <w:jc w:val="both"/>
        <w:rPr>
          <w:rFonts w:ascii="Arial" w:hAnsi="Arial" w:cs="Arial"/>
          <w:color w:val="335B74" w:themeColor="text2"/>
          <w:sz w:val="20"/>
          <w:szCs w:val="20"/>
        </w:rPr>
      </w:pPr>
    </w:p>
    <w:p w14:paraId="7D0299CE" w14:textId="0981C589" w:rsidR="00764FED" w:rsidRDefault="00764FED" w:rsidP="00E26899">
      <w:pPr>
        <w:spacing w:after="0"/>
        <w:jc w:val="both"/>
        <w:rPr>
          <w:rFonts w:ascii="Arial" w:hAnsi="Arial" w:cs="Arial"/>
          <w:color w:val="335B74" w:themeColor="text2"/>
          <w:sz w:val="20"/>
          <w:szCs w:val="20"/>
        </w:rPr>
      </w:pPr>
    </w:p>
    <w:p w14:paraId="30870452" w14:textId="35386679" w:rsidR="00764FED" w:rsidRPr="007857CF" w:rsidRDefault="00764FED" w:rsidP="007857CF">
      <w:pPr>
        <w:pStyle w:val="Heading3"/>
        <w:jc w:val="both"/>
        <w:rPr>
          <w:rFonts w:eastAsia="Times New Roman"/>
          <w:b/>
          <w:lang w:eastAsia="en-US"/>
        </w:rPr>
      </w:pPr>
      <w:bookmarkStart w:id="18" w:name="_Toc48388684"/>
      <w:r w:rsidRPr="007857CF">
        <w:rPr>
          <w:rFonts w:eastAsia="Times New Roman"/>
          <w:b/>
          <w:lang w:eastAsia="en-US"/>
        </w:rPr>
        <w:t>Appendix 2 - Bibliography</w:t>
      </w:r>
      <w:bookmarkEnd w:id="18"/>
      <w:r w:rsidRPr="007857CF">
        <w:rPr>
          <w:rFonts w:eastAsia="Times New Roman"/>
          <w:b/>
          <w:lang w:eastAsia="en-US"/>
        </w:rPr>
        <w:t xml:space="preserve"> </w:t>
      </w:r>
    </w:p>
    <w:p w14:paraId="3633B70F" w14:textId="58A24EF3" w:rsidR="00764FED" w:rsidRDefault="00764FED" w:rsidP="00E26899">
      <w:pPr>
        <w:spacing w:after="0"/>
        <w:jc w:val="both"/>
        <w:rPr>
          <w:rFonts w:ascii="Arial" w:hAnsi="Arial" w:cs="Arial"/>
          <w:color w:val="335B74" w:themeColor="text2"/>
          <w:sz w:val="20"/>
          <w:szCs w:val="20"/>
        </w:rPr>
      </w:pPr>
    </w:p>
    <w:p w14:paraId="735BC5CB" w14:textId="4FBFF185" w:rsidR="00CC4FAB" w:rsidRPr="007857CF" w:rsidRDefault="00764FED" w:rsidP="007857CF">
      <w:pPr>
        <w:pStyle w:val="Default"/>
        <w:numPr>
          <w:ilvl w:val="0"/>
          <w:numId w:val="57"/>
        </w:numPr>
        <w:spacing w:line="276" w:lineRule="auto"/>
        <w:rPr>
          <w:rFonts w:asciiTheme="minorHAnsi" w:hAnsiTheme="minorHAnsi" w:cstheme="minorHAnsi"/>
          <w:sz w:val="21"/>
          <w:szCs w:val="21"/>
          <w:lang w:val="en-IE"/>
        </w:rPr>
      </w:pPr>
      <w:r w:rsidRPr="007857CF">
        <w:rPr>
          <w:rFonts w:asciiTheme="minorHAnsi" w:eastAsia="Calibri" w:hAnsiTheme="minorHAnsi" w:cstheme="minorHAnsi"/>
          <w:bCs/>
          <w:sz w:val="21"/>
          <w:szCs w:val="21"/>
          <w:lang w:val="en-US"/>
        </w:rPr>
        <w:t>VISTART Joint Action (Project Number 676969), Principles for Competent Authorities for the Evaluation and Approval of Clinical Follow Up Protocols for Blood, Tissues and Cells Prepared with Newly Developed and Validated Processing Methodologies, Work Package 5b Deliverable 5.4, 2018</w:t>
      </w:r>
    </w:p>
    <w:p w14:paraId="5DF4E8B9" w14:textId="77777777" w:rsidR="00CC4FAB" w:rsidRPr="007857CF" w:rsidRDefault="00CC4FAB" w:rsidP="007857CF">
      <w:pPr>
        <w:pStyle w:val="Default"/>
        <w:spacing w:line="276" w:lineRule="auto"/>
        <w:ind w:left="720"/>
        <w:rPr>
          <w:rFonts w:asciiTheme="minorHAnsi" w:hAnsiTheme="minorHAnsi" w:cstheme="minorHAnsi"/>
          <w:sz w:val="21"/>
          <w:szCs w:val="21"/>
          <w:lang w:val="en-IE"/>
        </w:rPr>
      </w:pPr>
    </w:p>
    <w:p w14:paraId="1093E766" w14:textId="11A152B0" w:rsidR="00764FED" w:rsidRPr="007857CF" w:rsidRDefault="00764FED" w:rsidP="007857CF">
      <w:pPr>
        <w:pStyle w:val="Default"/>
        <w:numPr>
          <w:ilvl w:val="0"/>
          <w:numId w:val="57"/>
        </w:numPr>
        <w:spacing w:line="276" w:lineRule="auto"/>
        <w:rPr>
          <w:rFonts w:asciiTheme="minorHAnsi" w:hAnsiTheme="minorHAnsi"/>
          <w:sz w:val="21"/>
          <w:szCs w:val="21"/>
        </w:rPr>
      </w:pPr>
      <w:r w:rsidRPr="007857CF">
        <w:rPr>
          <w:rFonts w:asciiTheme="minorHAnsi" w:hAnsiTheme="minorHAnsi"/>
          <w:sz w:val="21"/>
          <w:szCs w:val="21"/>
        </w:rPr>
        <w:t xml:space="preserve">EuroGTP II Project (Project Number 709567) Good Practices for Evaluating Quality, Safety and Efficacy of Novel Tissue and Cellular Therapies and Products - Guidance, Methodologies and Tools, 2019 </w:t>
      </w:r>
      <w:hyperlink r:id="rId50" w:history="1">
        <w:r w:rsidR="001E503A" w:rsidRPr="00476962">
          <w:rPr>
            <w:rStyle w:val="Hyperlink"/>
          </w:rPr>
          <w:t>http://goodtissuepractices.eu/</w:t>
        </w:r>
      </w:hyperlink>
    </w:p>
    <w:p w14:paraId="399A8015" w14:textId="77777777" w:rsidR="00CC4FAB" w:rsidRPr="007857CF" w:rsidRDefault="00CC4FAB" w:rsidP="007857CF">
      <w:pPr>
        <w:pStyle w:val="Default"/>
        <w:spacing w:line="276" w:lineRule="auto"/>
        <w:ind w:left="720"/>
        <w:rPr>
          <w:rFonts w:asciiTheme="minorHAnsi" w:hAnsiTheme="minorHAnsi" w:cstheme="minorHAnsi"/>
          <w:sz w:val="21"/>
          <w:szCs w:val="21"/>
          <w:lang w:val="en-IE"/>
        </w:rPr>
      </w:pPr>
    </w:p>
    <w:p w14:paraId="1520DD0B" w14:textId="232ABCD2" w:rsidR="00764FED" w:rsidRPr="007857CF" w:rsidRDefault="00764FED" w:rsidP="00764FED">
      <w:pPr>
        <w:pStyle w:val="Default"/>
        <w:numPr>
          <w:ilvl w:val="0"/>
          <w:numId w:val="57"/>
        </w:numPr>
        <w:spacing w:line="276" w:lineRule="auto"/>
        <w:rPr>
          <w:rFonts w:asciiTheme="minorHAnsi" w:hAnsiTheme="minorHAnsi" w:cstheme="minorHAnsi"/>
          <w:sz w:val="21"/>
          <w:szCs w:val="21"/>
          <w:lang w:val="en-IE"/>
        </w:rPr>
      </w:pPr>
      <w:r w:rsidRPr="007857CF">
        <w:rPr>
          <w:rFonts w:asciiTheme="minorHAnsi" w:hAnsiTheme="minorHAnsi" w:cstheme="minorHAnsi"/>
          <w:color w:val="000000" w:themeColor="text1"/>
          <w:sz w:val="21"/>
          <w:szCs w:val="21"/>
        </w:rPr>
        <w:t>Agence nationale de sécurité du médicament et des produits de santé (</w:t>
      </w:r>
      <w:r w:rsidRPr="007857CF">
        <w:rPr>
          <w:rFonts w:asciiTheme="minorHAnsi" w:eastAsia="Calibri" w:hAnsiTheme="minorHAnsi" w:cstheme="minorHAnsi"/>
          <w:bCs/>
          <w:color w:val="000000" w:themeColor="text1"/>
          <w:sz w:val="21"/>
          <w:szCs w:val="21"/>
          <w:lang w:val="en-US"/>
        </w:rPr>
        <w:t>ANSM)</w:t>
      </w:r>
      <w:r w:rsidRPr="007857CF">
        <w:rPr>
          <w:rFonts w:asciiTheme="minorHAnsi" w:eastAsia="Calibri" w:hAnsiTheme="minorHAnsi" w:cstheme="minorHAnsi"/>
          <w:bCs/>
          <w:sz w:val="21"/>
          <w:szCs w:val="21"/>
          <w:lang w:val="en-US"/>
        </w:rPr>
        <w:t>, Notice to Applicants - Evaluation of Labile Blood Products, 2012</w:t>
      </w:r>
    </w:p>
    <w:p w14:paraId="28CCB02F" w14:textId="77777777" w:rsidR="00764FED" w:rsidRPr="007857CF" w:rsidRDefault="00764FED" w:rsidP="00764FED">
      <w:pPr>
        <w:pStyle w:val="Default"/>
        <w:spacing w:line="276" w:lineRule="auto"/>
        <w:ind w:left="720"/>
        <w:rPr>
          <w:rFonts w:asciiTheme="minorHAnsi" w:hAnsiTheme="minorHAnsi" w:cstheme="minorHAnsi"/>
          <w:color w:val="000000" w:themeColor="text1"/>
          <w:sz w:val="21"/>
          <w:szCs w:val="21"/>
        </w:rPr>
      </w:pPr>
    </w:p>
    <w:p w14:paraId="4F8FD5F6" w14:textId="0F34B566" w:rsidR="00764FED" w:rsidRPr="007857CF" w:rsidRDefault="00764FED" w:rsidP="00764FED">
      <w:pPr>
        <w:pStyle w:val="Default"/>
        <w:numPr>
          <w:ilvl w:val="0"/>
          <w:numId w:val="57"/>
        </w:numPr>
        <w:shd w:val="clear" w:color="auto" w:fill="FFFFFF"/>
        <w:spacing w:line="276" w:lineRule="auto"/>
        <w:rPr>
          <w:rFonts w:asciiTheme="minorHAnsi" w:hAnsiTheme="minorHAnsi" w:cstheme="minorHAnsi"/>
          <w:bCs/>
          <w:color w:val="000000" w:themeColor="text1"/>
          <w:sz w:val="21"/>
          <w:szCs w:val="21"/>
        </w:rPr>
      </w:pPr>
      <w:r w:rsidRPr="007857CF">
        <w:rPr>
          <w:rFonts w:asciiTheme="minorHAnsi" w:hAnsiTheme="minorHAnsi" w:cstheme="minorHAnsi"/>
          <w:color w:val="000000" w:themeColor="text1"/>
          <w:sz w:val="21"/>
          <w:szCs w:val="21"/>
          <w:shd w:val="clear" w:color="auto" w:fill="FFFFFF"/>
        </w:rPr>
        <w:t>Joint UKBTS Joint Professional Advisory Committee (JPAC)</w:t>
      </w:r>
      <w:r w:rsidRPr="007857CF">
        <w:rPr>
          <w:rFonts w:asciiTheme="minorHAnsi" w:hAnsiTheme="minorHAnsi" w:cstheme="minorHAnsi"/>
          <w:color w:val="000000" w:themeColor="text1"/>
          <w:sz w:val="21"/>
          <w:szCs w:val="21"/>
        </w:rPr>
        <w:t xml:space="preserve"> Guidelines for the Blood Transfusion Services in the UK, Chapter 8: Evaluation of </w:t>
      </w:r>
      <w:r w:rsidR="006848C8">
        <w:rPr>
          <w:rFonts w:asciiTheme="minorHAnsi" w:hAnsiTheme="minorHAnsi" w:cstheme="minorHAnsi"/>
          <w:color w:val="000000" w:themeColor="text1"/>
          <w:sz w:val="21"/>
          <w:szCs w:val="21"/>
        </w:rPr>
        <w:t>N</w:t>
      </w:r>
      <w:r w:rsidRPr="007857CF">
        <w:rPr>
          <w:rFonts w:asciiTheme="minorHAnsi" w:hAnsiTheme="minorHAnsi" w:cstheme="minorHAnsi"/>
          <w:color w:val="000000" w:themeColor="text1"/>
          <w:sz w:val="21"/>
          <w:szCs w:val="21"/>
        </w:rPr>
        <w:t xml:space="preserve">ovel </w:t>
      </w:r>
      <w:r w:rsidR="006848C8">
        <w:rPr>
          <w:rFonts w:asciiTheme="minorHAnsi" w:hAnsiTheme="minorHAnsi" w:cstheme="minorHAnsi"/>
          <w:color w:val="000000" w:themeColor="text1"/>
          <w:sz w:val="21"/>
          <w:szCs w:val="21"/>
        </w:rPr>
        <w:t>B</w:t>
      </w:r>
      <w:r w:rsidRPr="007857CF">
        <w:rPr>
          <w:rFonts w:asciiTheme="minorHAnsi" w:hAnsiTheme="minorHAnsi" w:cstheme="minorHAnsi"/>
          <w:color w:val="000000" w:themeColor="text1"/>
          <w:sz w:val="21"/>
          <w:szCs w:val="21"/>
        </w:rPr>
        <w:t xml:space="preserve">lood </w:t>
      </w:r>
      <w:r w:rsidR="006848C8">
        <w:rPr>
          <w:rFonts w:asciiTheme="minorHAnsi" w:hAnsiTheme="minorHAnsi" w:cstheme="minorHAnsi"/>
          <w:color w:val="000000" w:themeColor="text1"/>
          <w:sz w:val="21"/>
          <w:szCs w:val="21"/>
        </w:rPr>
        <w:t>C</w:t>
      </w:r>
      <w:r w:rsidRPr="007857CF">
        <w:rPr>
          <w:rFonts w:asciiTheme="minorHAnsi" w:hAnsiTheme="minorHAnsi" w:cstheme="minorHAnsi"/>
          <w:color w:val="000000" w:themeColor="text1"/>
          <w:sz w:val="21"/>
          <w:szCs w:val="21"/>
        </w:rPr>
        <w:t xml:space="preserve">omponents, </w:t>
      </w:r>
      <w:r w:rsidR="006848C8">
        <w:rPr>
          <w:rFonts w:asciiTheme="minorHAnsi" w:hAnsiTheme="minorHAnsi" w:cstheme="minorHAnsi"/>
          <w:color w:val="000000" w:themeColor="text1"/>
          <w:sz w:val="21"/>
          <w:szCs w:val="21"/>
        </w:rPr>
        <w:t>P</w:t>
      </w:r>
      <w:r w:rsidRPr="007857CF">
        <w:rPr>
          <w:rFonts w:asciiTheme="minorHAnsi" w:hAnsiTheme="minorHAnsi" w:cstheme="minorHAnsi"/>
          <w:color w:val="000000" w:themeColor="text1"/>
          <w:sz w:val="21"/>
          <w:szCs w:val="21"/>
        </w:rPr>
        <w:t xml:space="preserve">roduction </w:t>
      </w:r>
      <w:r w:rsidR="006848C8">
        <w:rPr>
          <w:rFonts w:asciiTheme="minorHAnsi" w:hAnsiTheme="minorHAnsi" w:cstheme="minorHAnsi"/>
          <w:color w:val="000000" w:themeColor="text1"/>
          <w:sz w:val="21"/>
          <w:szCs w:val="21"/>
        </w:rPr>
        <w:t>P</w:t>
      </w:r>
      <w:r w:rsidRPr="007857CF">
        <w:rPr>
          <w:rFonts w:asciiTheme="minorHAnsi" w:hAnsiTheme="minorHAnsi" w:cstheme="minorHAnsi"/>
          <w:color w:val="000000" w:themeColor="text1"/>
          <w:sz w:val="21"/>
          <w:szCs w:val="21"/>
        </w:rPr>
        <w:t xml:space="preserve">rocesses and </w:t>
      </w:r>
      <w:r w:rsidR="006848C8">
        <w:rPr>
          <w:rFonts w:asciiTheme="minorHAnsi" w:hAnsiTheme="minorHAnsi" w:cstheme="minorHAnsi"/>
          <w:color w:val="000000" w:themeColor="text1"/>
          <w:sz w:val="21"/>
          <w:szCs w:val="21"/>
        </w:rPr>
        <w:t>B</w:t>
      </w:r>
      <w:r w:rsidRPr="007857CF">
        <w:rPr>
          <w:rFonts w:asciiTheme="minorHAnsi" w:hAnsiTheme="minorHAnsi" w:cstheme="minorHAnsi"/>
          <w:color w:val="000000" w:themeColor="text1"/>
          <w:sz w:val="21"/>
          <w:szCs w:val="21"/>
        </w:rPr>
        <w:t xml:space="preserve">lood </w:t>
      </w:r>
      <w:r w:rsidR="006848C8">
        <w:rPr>
          <w:rFonts w:asciiTheme="minorHAnsi" w:hAnsiTheme="minorHAnsi" w:cstheme="minorHAnsi"/>
          <w:color w:val="000000" w:themeColor="text1"/>
          <w:sz w:val="21"/>
          <w:szCs w:val="21"/>
        </w:rPr>
        <w:t>P</w:t>
      </w:r>
      <w:r w:rsidRPr="007857CF">
        <w:rPr>
          <w:rFonts w:asciiTheme="minorHAnsi" w:hAnsiTheme="minorHAnsi" w:cstheme="minorHAnsi"/>
          <w:color w:val="000000" w:themeColor="text1"/>
          <w:sz w:val="21"/>
          <w:szCs w:val="21"/>
        </w:rPr>
        <w:t xml:space="preserve">acks: </w:t>
      </w:r>
      <w:r w:rsidR="006848C8">
        <w:rPr>
          <w:rFonts w:asciiTheme="minorHAnsi" w:hAnsiTheme="minorHAnsi" w:cstheme="minorHAnsi"/>
          <w:color w:val="000000" w:themeColor="text1"/>
          <w:sz w:val="21"/>
          <w:szCs w:val="21"/>
        </w:rPr>
        <w:t>G</w:t>
      </w:r>
      <w:r w:rsidRPr="007857CF">
        <w:rPr>
          <w:rFonts w:asciiTheme="minorHAnsi" w:hAnsiTheme="minorHAnsi" w:cstheme="minorHAnsi"/>
          <w:color w:val="000000" w:themeColor="text1"/>
          <w:sz w:val="21"/>
          <w:szCs w:val="21"/>
        </w:rPr>
        <w:t xml:space="preserve">eneric </w:t>
      </w:r>
      <w:r w:rsidR="006848C8">
        <w:rPr>
          <w:rFonts w:asciiTheme="minorHAnsi" w:hAnsiTheme="minorHAnsi" w:cstheme="minorHAnsi"/>
          <w:color w:val="000000" w:themeColor="text1"/>
          <w:sz w:val="21"/>
          <w:szCs w:val="21"/>
        </w:rPr>
        <w:t>P</w:t>
      </w:r>
      <w:r w:rsidRPr="007857CF">
        <w:rPr>
          <w:rFonts w:asciiTheme="minorHAnsi" w:hAnsiTheme="minorHAnsi" w:cstheme="minorHAnsi"/>
          <w:color w:val="000000" w:themeColor="text1"/>
          <w:sz w:val="21"/>
          <w:szCs w:val="21"/>
        </w:rPr>
        <w:t>rotocols, 8th Edition, 2013</w:t>
      </w:r>
    </w:p>
    <w:p w14:paraId="5C1024DE" w14:textId="77777777" w:rsidR="00764FED" w:rsidRPr="007857CF" w:rsidRDefault="00764FED" w:rsidP="00764FED">
      <w:pPr>
        <w:pStyle w:val="Default"/>
        <w:shd w:val="clear" w:color="auto" w:fill="FFFFFF"/>
        <w:spacing w:line="276" w:lineRule="auto"/>
        <w:ind w:left="720"/>
        <w:rPr>
          <w:rFonts w:asciiTheme="minorHAnsi" w:hAnsiTheme="minorHAnsi" w:cstheme="minorHAnsi"/>
          <w:bCs/>
          <w:color w:val="000000" w:themeColor="text1"/>
          <w:sz w:val="21"/>
          <w:szCs w:val="21"/>
        </w:rPr>
      </w:pPr>
    </w:p>
    <w:p w14:paraId="72634511" w14:textId="3CEFF5BD" w:rsidR="00764FED" w:rsidRDefault="00764FED" w:rsidP="00764FED">
      <w:pPr>
        <w:pStyle w:val="ListParagraph"/>
        <w:numPr>
          <w:ilvl w:val="0"/>
          <w:numId w:val="57"/>
        </w:numPr>
        <w:autoSpaceDE w:val="0"/>
        <w:autoSpaceDN w:val="0"/>
        <w:adjustRightInd w:val="0"/>
        <w:spacing w:after="0"/>
        <w:rPr>
          <w:rFonts w:cstheme="minorHAnsi"/>
          <w:bCs/>
        </w:rPr>
      </w:pPr>
      <w:r w:rsidRPr="007857CF">
        <w:rPr>
          <w:rFonts w:cstheme="minorHAnsi"/>
          <w:bCs/>
          <w:color w:val="000000" w:themeColor="text1"/>
        </w:rPr>
        <w:t>Commission Regulation (EC) No 507</w:t>
      </w:r>
      <w:r w:rsidRPr="007857CF">
        <w:rPr>
          <w:rFonts w:cstheme="minorHAnsi"/>
          <w:bCs/>
        </w:rPr>
        <w:t>/2006 of 29 March 2006 on the conditional marketing authorisation for medicinal products for human use falling within the scope of Regulation (EC) No 726/2004 of the European Parliament and of the Council</w:t>
      </w:r>
    </w:p>
    <w:p w14:paraId="257BC818" w14:textId="77777777" w:rsidR="00ED6C53" w:rsidRPr="00865EBD" w:rsidRDefault="00ED6C53" w:rsidP="007857CF">
      <w:pPr>
        <w:pStyle w:val="ListParagraph"/>
        <w:rPr>
          <w:rFonts w:cstheme="minorHAnsi"/>
          <w:bCs/>
        </w:rPr>
      </w:pPr>
    </w:p>
    <w:p w14:paraId="25EB3000" w14:textId="77777777" w:rsidR="00ED6C53" w:rsidRPr="003B7DA6" w:rsidRDefault="00ED6C53" w:rsidP="00ED6C53">
      <w:pPr>
        <w:pStyle w:val="Default"/>
        <w:numPr>
          <w:ilvl w:val="0"/>
          <w:numId w:val="57"/>
        </w:numPr>
        <w:spacing w:line="276" w:lineRule="auto"/>
        <w:rPr>
          <w:rFonts w:asciiTheme="minorHAnsi" w:hAnsiTheme="minorHAnsi" w:cstheme="minorHAnsi"/>
          <w:sz w:val="21"/>
          <w:szCs w:val="21"/>
        </w:rPr>
      </w:pPr>
      <w:r>
        <w:t xml:space="preserve">EMA - Conditional Marketing Autorisations </w:t>
      </w:r>
      <w:hyperlink r:id="rId51" w:history="1">
        <w:r>
          <w:rPr>
            <w:rStyle w:val="Hyperlink"/>
          </w:rPr>
          <w:t>https://www.ema.europa.eu/en/human-regulatory/marketing-authorisation/conditional-marketing-authorisation</w:t>
        </w:r>
      </w:hyperlink>
    </w:p>
    <w:p w14:paraId="430617DC" w14:textId="77777777" w:rsidR="00ED6C53" w:rsidRPr="007857CF" w:rsidRDefault="00ED6C53" w:rsidP="00764FED">
      <w:pPr>
        <w:autoSpaceDE w:val="0"/>
        <w:autoSpaceDN w:val="0"/>
        <w:adjustRightInd w:val="0"/>
        <w:spacing w:after="0"/>
        <w:rPr>
          <w:rFonts w:cstheme="minorHAnsi"/>
        </w:rPr>
      </w:pPr>
    </w:p>
    <w:p w14:paraId="52770F0D" w14:textId="77777777" w:rsidR="00764FED" w:rsidRPr="007857CF" w:rsidRDefault="00764FED" w:rsidP="00764FED">
      <w:pPr>
        <w:pStyle w:val="ListParagraph"/>
        <w:numPr>
          <w:ilvl w:val="0"/>
          <w:numId w:val="57"/>
        </w:numPr>
        <w:spacing w:after="0"/>
        <w:rPr>
          <w:rFonts w:eastAsia="Times New Roman" w:cstheme="minorHAnsi"/>
        </w:rPr>
      </w:pPr>
      <w:r w:rsidRPr="007857CF">
        <w:rPr>
          <w:rFonts w:eastAsia="Times New Roman" w:cstheme="minorHAnsi"/>
          <w:w w:val="107"/>
        </w:rPr>
        <w:t xml:space="preserve">European Medicines Agency, </w:t>
      </w:r>
      <w:r w:rsidRPr="007857CF">
        <w:rPr>
          <w:rFonts w:cstheme="minorHAnsi"/>
        </w:rPr>
        <w:t xml:space="preserve">ICH Topic M 4 Q Common Technical Document for the Registration of Pharmaceuticals for Human Use – Quality, Step 5,  </w:t>
      </w:r>
      <w:r w:rsidRPr="007857CF">
        <w:rPr>
          <w:rFonts w:eastAsia="Times New Roman" w:cstheme="minorHAnsi"/>
          <w:w w:val="107"/>
        </w:rPr>
        <w:t>Common Technical</w:t>
      </w:r>
      <w:r w:rsidRPr="007857CF">
        <w:rPr>
          <w:rFonts w:eastAsia="Times New Roman" w:cstheme="minorHAnsi"/>
          <w:spacing w:val="20"/>
          <w:w w:val="107"/>
        </w:rPr>
        <w:t xml:space="preserve"> </w:t>
      </w:r>
      <w:r w:rsidRPr="007857CF">
        <w:rPr>
          <w:rFonts w:eastAsia="Times New Roman" w:cstheme="minorHAnsi"/>
          <w:spacing w:val="1"/>
          <w:w w:val="107"/>
        </w:rPr>
        <w:t>Document for the</w:t>
      </w:r>
      <w:r w:rsidRPr="007857CF">
        <w:rPr>
          <w:rFonts w:eastAsia="Times New Roman" w:cstheme="minorHAnsi"/>
          <w:spacing w:val="46"/>
        </w:rPr>
        <w:t xml:space="preserve"> </w:t>
      </w:r>
      <w:r w:rsidRPr="007857CF">
        <w:rPr>
          <w:rFonts w:eastAsia="Times New Roman" w:cstheme="minorHAnsi"/>
          <w:w w:val="108"/>
        </w:rPr>
        <w:t xml:space="preserve">Registration of </w:t>
      </w:r>
      <w:r w:rsidRPr="007857CF">
        <w:rPr>
          <w:rFonts w:eastAsia="Times New Roman" w:cstheme="minorHAnsi"/>
          <w:w w:val="107"/>
        </w:rPr>
        <w:t>Pharmaceutical for</w:t>
      </w:r>
      <w:r w:rsidRPr="007857CF">
        <w:rPr>
          <w:rFonts w:eastAsia="Times New Roman" w:cstheme="minorHAnsi"/>
          <w:spacing w:val="50"/>
        </w:rPr>
        <w:t xml:space="preserve"> </w:t>
      </w:r>
      <w:r w:rsidRPr="007857CF">
        <w:rPr>
          <w:rFonts w:eastAsia="Times New Roman" w:cstheme="minorHAnsi"/>
        </w:rPr>
        <w:t xml:space="preserve">Human Use, </w:t>
      </w:r>
      <w:r w:rsidRPr="007857CF">
        <w:rPr>
          <w:rFonts w:eastAsia="Times New Roman" w:cstheme="minorHAnsi"/>
          <w:w w:val="107"/>
        </w:rPr>
        <w:t>Quality Overall</w:t>
      </w:r>
      <w:r w:rsidRPr="007857CF">
        <w:rPr>
          <w:rFonts w:eastAsia="Times New Roman" w:cstheme="minorHAnsi"/>
          <w:spacing w:val="7"/>
          <w:w w:val="107"/>
        </w:rPr>
        <w:t xml:space="preserve"> </w:t>
      </w:r>
      <w:r w:rsidRPr="007857CF">
        <w:rPr>
          <w:rFonts w:eastAsia="Times New Roman" w:cstheme="minorHAnsi"/>
          <w:spacing w:val="2"/>
        </w:rPr>
        <w:t xml:space="preserve">Summary of </w:t>
      </w:r>
      <w:r w:rsidRPr="007857CF">
        <w:rPr>
          <w:rFonts w:eastAsia="Times New Roman" w:cstheme="minorHAnsi"/>
          <w:w w:val="107"/>
        </w:rPr>
        <w:t>Module</w:t>
      </w:r>
      <w:r w:rsidRPr="007857CF">
        <w:rPr>
          <w:rFonts w:eastAsia="Times New Roman" w:cstheme="minorHAnsi"/>
          <w:spacing w:val="1"/>
          <w:w w:val="107"/>
        </w:rPr>
        <w:t xml:space="preserve"> </w:t>
      </w:r>
      <w:r w:rsidRPr="007857CF">
        <w:rPr>
          <w:rFonts w:eastAsia="Times New Roman" w:cstheme="minorHAnsi"/>
        </w:rPr>
        <w:t>2</w:t>
      </w:r>
      <w:r w:rsidRPr="007857CF">
        <w:rPr>
          <w:rFonts w:eastAsia="Times New Roman" w:cstheme="minorHAnsi"/>
          <w:spacing w:val="4"/>
        </w:rPr>
        <w:t xml:space="preserve"> and </w:t>
      </w:r>
      <w:r w:rsidRPr="007857CF">
        <w:rPr>
          <w:rFonts w:eastAsia="Times New Roman" w:cstheme="minorHAnsi"/>
          <w:w w:val="109"/>
        </w:rPr>
        <w:t xml:space="preserve">Module 3: Quality, </w:t>
      </w:r>
      <w:r w:rsidRPr="007857CF">
        <w:rPr>
          <w:rFonts w:eastAsia="Times New Roman" w:cstheme="minorHAnsi"/>
          <w:position w:val="-1"/>
        </w:rPr>
        <w:t>Ref: (CPMP/ICH</w:t>
      </w:r>
      <w:r w:rsidRPr="007857CF">
        <w:rPr>
          <w:rFonts w:eastAsia="Times New Roman" w:cstheme="minorHAnsi"/>
          <w:spacing w:val="-1"/>
          <w:position w:val="-1"/>
        </w:rPr>
        <w:t>/</w:t>
      </w:r>
      <w:r w:rsidRPr="007857CF">
        <w:rPr>
          <w:rFonts w:eastAsia="Times New Roman" w:cstheme="minorHAnsi"/>
          <w:position w:val="-1"/>
        </w:rPr>
        <w:t>2887</w:t>
      </w:r>
      <w:r w:rsidRPr="007857CF">
        <w:rPr>
          <w:rFonts w:eastAsia="Times New Roman" w:cstheme="minorHAnsi"/>
          <w:spacing w:val="-1"/>
          <w:position w:val="-1"/>
        </w:rPr>
        <w:t>/</w:t>
      </w:r>
      <w:r w:rsidRPr="007857CF">
        <w:rPr>
          <w:rFonts w:eastAsia="Times New Roman" w:cstheme="minorHAnsi"/>
          <w:position w:val="-1"/>
        </w:rPr>
        <w:t xml:space="preserve">99 - </w:t>
      </w:r>
      <w:r w:rsidRPr="007857CF">
        <w:rPr>
          <w:rFonts w:eastAsia="Times New Roman" w:cstheme="minorHAnsi"/>
          <w:w w:val="102"/>
          <w:position w:val="-1"/>
        </w:rPr>
        <w:t>Qual</w:t>
      </w:r>
      <w:r w:rsidRPr="007857CF">
        <w:rPr>
          <w:rFonts w:eastAsia="Times New Roman" w:cstheme="minorHAnsi"/>
          <w:spacing w:val="-1"/>
          <w:w w:val="102"/>
          <w:position w:val="-1"/>
        </w:rPr>
        <w:t>i</w:t>
      </w:r>
      <w:r w:rsidRPr="007857CF">
        <w:rPr>
          <w:rFonts w:eastAsia="Times New Roman" w:cstheme="minorHAnsi"/>
          <w:w w:val="102"/>
          <w:position w:val="-1"/>
        </w:rPr>
        <w:t>t</w:t>
      </w:r>
      <w:r w:rsidRPr="007857CF">
        <w:rPr>
          <w:rFonts w:eastAsia="Times New Roman" w:cstheme="minorHAnsi"/>
          <w:spacing w:val="3"/>
          <w:w w:val="102"/>
          <w:position w:val="-1"/>
        </w:rPr>
        <w:t>y</w:t>
      </w:r>
      <w:r w:rsidRPr="007857CF">
        <w:rPr>
          <w:rFonts w:eastAsia="Times New Roman" w:cstheme="minorHAnsi"/>
          <w:w w:val="102"/>
          <w:position w:val="-1"/>
        </w:rPr>
        <w:t>), July 2003</w:t>
      </w:r>
    </w:p>
    <w:p w14:paraId="3C895212" w14:textId="77777777" w:rsidR="00764FED" w:rsidRPr="007857CF" w:rsidRDefault="00764FED" w:rsidP="00764FED">
      <w:pPr>
        <w:pStyle w:val="Default"/>
        <w:spacing w:line="276" w:lineRule="auto"/>
        <w:rPr>
          <w:rFonts w:asciiTheme="minorHAnsi" w:hAnsiTheme="minorHAnsi" w:cstheme="minorHAnsi"/>
          <w:color w:val="000000" w:themeColor="text1"/>
          <w:sz w:val="21"/>
          <w:szCs w:val="21"/>
        </w:rPr>
      </w:pPr>
    </w:p>
    <w:p w14:paraId="7B1E490A"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hAnsiTheme="minorHAnsi" w:cstheme="minorHAnsi"/>
          <w:color w:val="000000" w:themeColor="text1"/>
          <w:sz w:val="21"/>
          <w:szCs w:val="21"/>
        </w:rPr>
        <w:t xml:space="preserve">European Medicines Agency Post-Authorisation Procedural Advice for Users of the Centralised Procedure, 29 April 2019, EMEA-H-19984/03 Rev. 82 </w:t>
      </w:r>
    </w:p>
    <w:p w14:paraId="53E4EFEE" w14:textId="77777777" w:rsidR="00764FED" w:rsidRPr="007857CF" w:rsidRDefault="00764FED" w:rsidP="00764FED">
      <w:pPr>
        <w:pStyle w:val="Default"/>
        <w:spacing w:line="276" w:lineRule="auto"/>
        <w:ind w:left="720"/>
        <w:rPr>
          <w:rFonts w:asciiTheme="minorHAnsi" w:hAnsiTheme="minorHAnsi" w:cstheme="minorHAnsi"/>
          <w:color w:val="000000" w:themeColor="text1"/>
          <w:sz w:val="21"/>
          <w:szCs w:val="21"/>
        </w:rPr>
      </w:pPr>
    </w:p>
    <w:p w14:paraId="10D55B80"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hAnsiTheme="minorHAnsi" w:cstheme="minorHAnsi"/>
          <w:color w:val="000000" w:themeColor="text1"/>
          <w:sz w:val="21"/>
          <w:szCs w:val="21"/>
          <w:shd w:val="clear" w:color="auto" w:fill="FFFFFF"/>
        </w:rPr>
        <w:t>Guidelines on the details of the various categories of variations, on the operation of the procedures laid down in Chapters II, IIa, III and IV of Commission Regulation (EC) No 1234/2008 of 24 November 2008 concerning the examination of variations to the terms of marketing authorisations for medicinal products for human use and veterinary medicinal products and on the documentation to be submitted pursuant to those procedures, 2013/C 223/01</w:t>
      </w:r>
    </w:p>
    <w:p w14:paraId="6423EF66" w14:textId="77777777" w:rsidR="00764FED" w:rsidRPr="007857CF" w:rsidRDefault="00764FED" w:rsidP="00764FED">
      <w:pPr>
        <w:pStyle w:val="Default"/>
        <w:spacing w:line="276" w:lineRule="auto"/>
        <w:ind w:left="720"/>
        <w:rPr>
          <w:rFonts w:asciiTheme="minorHAnsi" w:hAnsiTheme="minorHAnsi" w:cstheme="minorHAnsi"/>
          <w:color w:val="000000" w:themeColor="text1"/>
          <w:sz w:val="21"/>
          <w:szCs w:val="21"/>
        </w:rPr>
      </w:pPr>
    </w:p>
    <w:p w14:paraId="51A41B35"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eastAsia="Calibri" w:hAnsiTheme="minorHAnsi" w:cstheme="minorHAnsi"/>
          <w:bCs/>
          <w:sz w:val="21"/>
          <w:szCs w:val="21"/>
        </w:rPr>
        <w:t>Communication from the Commission – Guideline on the details of the various categories of variations to the terms of marketing authorisations for medicinal products for human use and veterinary medicinal products, 2008</w:t>
      </w:r>
    </w:p>
    <w:p w14:paraId="1FB4A376" w14:textId="77777777" w:rsidR="00764FED" w:rsidRPr="007857CF" w:rsidRDefault="00764FED" w:rsidP="00764FED">
      <w:pPr>
        <w:pStyle w:val="Default"/>
        <w:spacing w:line="276" w:lineRule="auto"/>
        <w:ind w:left="720"/>
        <w:rPr>
          <w:rFonts w:asciiTheme="minorHAnsi" w:hAnsiTheme="minorHAnsi" w:cstheme="minorHAnsi"/>
          <w:color w:val="000000" w:themeColor="text1"/>
          <w:sz w:val="21"/>
          <w:szCs w:val="21"/>
        </w:rPr>
      </w:pPr>
    </w:p>
    <w:p w14:paraId="6FEFAC39"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hAnsiTheme="minorHAnsi" w:cstheme="minorHAnsi"/>
          <w:sz w:val="21"/>
          <w:szCs w:val="21"/>
        </w:rPr>
        <w:t>Guideline on Human Cell-Based Medicinal Products, Committee for Medicinal Product for Human Use (CHMP), EMEA/CHMP/410869/2006</w:t>
      </w:r>
    </w:p>
    <w:p w14:paraId="58AEF60D" w14:textId="77777777" w:rsidR="00764FED" w:rsidRPr="007857CF" w:rsidRDefault="00764FED" w:rsidP="00764FED">
      <w:pPr>
        <w:pStyle w:val="Default"/>
        <w:spacing w:line="276" w:lineRule="auto"/>
        <w:ind w:left="720"/>
        <w:rPr>
          <w:rFonts w:asciiTheme="minorHAnsi" w:hAnsiTheme="minorHAnsi" w:cstheme="minorHAnsi"/>
          <w:color w:val="000000" w:themeColor="text1"/>
          <w:sz w:val="21"/>
          <w:szCs w:val="21"/>
        </w:rPr>
      </w:pPr>
    </w:p>
    <w:p w14:paraId="4B222790"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hAnsiTheme="minorHAnsi" w:cstheme="minorHAnsi"/>
          <w:sz w:val="21"/>
          <w:szCs w:val="21"/>
        </w:rPr>
        <w:t xml:space="preserve">Guideline on the Requirements for Quality Documentation Concerning Biological Investigational Medicinal Products in Clinical Trials, Committee for Medicinal Product for Human Use (CHMP), EMA/CHMP/BWP/534898/2008 </w:t>
      </w:r>
    </w:p>
    <w:p w14:paraId="7854AD27" w14:textId="77777777" w:rsidR="00764FED" w:rsidRPr="007857CF" w:rsidRDefault="00764FED" w:rsidP="00764FED">
      <w:pPr>
        <w:pStyle w:val="Default"/>
        <w:spacing w:line="276" w:lineRule="auto"/>
        <w:ind w:left="720"/>
        <w:rPr>
          <w:rFonts w:asciiTheme="minorHAnsi" w:hAnsiTheme="minorHAnsi" w:cstheme="minorHAnsi"/>
          <w:color w:val="000000" w:themeColor="text1"/>
          <w:sz w:val="21"/>
          <w:szCs w:val="21"/>
        </w:rPr>
      </w:pPr>
    </w:p>
    <w:p w14:paraId="6383BC4F"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hAnsiTheme="minorHAnsi" w:cstheme="minorHAnsi"/>
          <w:color w:val="000000" w:themeColor="text1"/>
          <w:sz w:val="21"/>
          <w:szCs w:val="21"/>
        </w:rPr>
        <w:t xml:space="preserve">Procedural advice on the evaluation of advanced therapy medicinal product in accordance with Article 8 of Regulation (EC) No 1394/2007, 25 January 2018, EMA/630043/2008 </w:t>
      </w:r>
    </w:p>
    <w:p w14:paraId="4FDC0860" w14:textId="77777777" w:rsidR="00764FED" w:rsidRPr="007857CF" w:rsidRDefault="00764FED" w:rsidP="00764FED">
      <w:pPr>
        <w:pStyle w:val="Default"/>
        <w:spacing w:line="276" w:lineRule="auto"/>
        <w:rPr>
          <w:rFonts w:asciiTheme="minorHAnsi" w:hAnsiTheme="minorHAnsi" w:cstheme="minorHAnsi"/>
          <w:color w:val="000000" w:themeColor="text1"/>
          <w:sz w:val="21"/>
          <w:szCs w:val="21"/>
        </w:rPr>
      </w:pPr>
    </w:p>
    <w:p w14:paraId="473A375F"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hAnsiTheme="minorHAnsi" w:cstheme="minorHAnsi"/>
          <w:color w:val="000000" w:themeColor="text1"/>
          <w:sz w:val="21"/>
          <w:szCs w:val="21"/>
        </w:rPr>
        <w:t xml:space="preserve">Development of non-substantially manipulated cell-based ATMPs: flexibility introduced via the application of the risk-based approach, July 2017, EMA/CAT/216556/2017 </w:t>
      </w:r>
    </w:p>
    <w:p w14:paraId="1F6B11F4" w14:textId="77777777" w:rsidR="00764FED" w:rsidRPr="007857CF" w:rsidRDefault="00764FED" w:rsidP="00764FED">
      <w:pPr>
        <w:pStyle w:val="Default"/>
        <w:spacing w:line="276" w:lineRule="auto"/>
        <w:rPr>
          <w:rFonts w:asciiTheme="minorHAnsi" w:hAnsiTheme="minorHAnsi" w:cstheme="minorHAnsi"/>
          <w:color w:val="000000" w:themeColor="text1"/>
          <w:sz w:val="21"/>
          <w:szCs w:val="21"/>
        </w:rPr>
      </w:pPr>
    </w:p>
    <w:p w14:paraId="699C7A55"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hAnsiTheme="minorHAnsi" w:cstheme="minorHAnsi"/>
          <w:bCs/>
          <w:color w:val="000000" w:themeColor="text1"/>
          <w:sz w:val="21"/>
          <w:szCs w:val="21"/>
        </w:rPr>
        <w:t xml:space="preserve">Committee for Advanced Therapies (CAT), Procedural Advice on the Evaluation of Advanced Therapy Medicinal Product in Accordance with Article 8 of Regulation (EC) No. 1394/2007, </w:t>
      </w:r>
      <w:r w:rsidRPr="007857CF">
        <w:rPr>
          <w:rFonts w:asciiTheme="minorHAnsi" w:hAnsiTheme="minorHAnsi" w:cstheme="minorHAnsi"/>
          <w:color w:val="000000" w:themeColor="text1"/>
          <w:sz w:val="21"/>
          <w:szCs w:val="21"/>
        </w:rPr>
        <w:t>31st March 2009, EMEA/630043/2008</w:t>
      </w:r>
    </w:p>
    <w:p w14:paraId="330DEDAA" w14:textId="77777777" w:rsidR="00764FED" w:rsidRPr="007857CF" w:rsidRDefault="00764FED" w:rsidP="00764FED">
      <w:pPr>
        <w:pStyle w:val="Default"/>
        <w:spacing w:line="276" w:lineRule="auto"/>
        <w:ind w:firstLine="60"/>
        <w:rPr>
          <w:rFonts w:asciiTheme="minorHAnsi" w:hAnsiTheme="minorHAnsi" w:cstheme="minorHAnsi"/>
          <w:color w:val="000000" w:themeColor="text1"/>
          <w:sz w:val="21"/>
          <w:szCs w:val="21"/>
        </w:rPr>
      </w:pPr>
    </w:p>
    <w:p w14:paraId="386363FB" w14:textId="77777777" w:rsidR="00764FED" w:rsidRPr="007857CF" w:rsidRDefault="00764FED" w:rsidP="00764FED">
      <w:pPr>
        <w:pStyle w:val="Default"/>
        <w:numPr>
          <w:ilvl w:val="0"/>
          <w:numId w:val="57"/>
        </w:numPr>
        <w:spacing w:line="276" w:lineRule="auto"/>
        <w:rPr>
          <w:rFonts w:asciiTheme="minorHAnsi" w:hAnsiTheme="minorHAnsi" w:cstheme="minorHAnsi"/>
          <w:color w:val="000000" w:themeColor="text1"/>
          <w:sz w:val="21"/>
          <w:szCs w:val="21"/>
        </w:rPr>
      </w:pPr>
      <w:r w:rsidRPr="007857CF">
        <w:rPr>
          <w:rFonts w:asciiTheme="minorHAnsi" w:hAnsiTheme="minorHAnsi" w:cstheme="minorHAnsi"/>
          <w:color w:val="000000" w:themeColor="text1"/>
          <w:sz w:val="21"/>
          <w:szCs w:val="21"/>
        </w:rPr>
        <w:t xml:space="preserve">Guideline on the risk-based approach according to annex I, part IV of Directive 2001/83/EC applied to Advanced therapy medicinal products, 11 February 2013, EMA/CAT/CPWP/686637/2011  </w:t>
      </w:r>
    </w:p>
    <w:p w14:paraId="57FF6A20" w14:textId="77777777" w:rsidR="00764FED" w:rsidRPr="007857CF" w:rsidRDefault="00764FED" w:rsidP="00764FED">
      <w:pPr>
        <w:pStyle w:val="Default"/>
        <w:spacing w:line="276" w:lineRule="auto"/>
        <w:ind w:left="720"/>
        <w:rPr>
          <w:rFonts w:asciiTheme="minorHAnsi" w:hAnsiTheme="minorHAnsi" w:cstheme="minorHAnsi"/>
          <w:color w:val="000000" w:themeColor="text1"/>
          <w:sz w:val="21"/>
          <w:szCs w:val="21"/>
        </w:rPr>
      </w:pPr>
    </w:p>
    <w:p w14:paraId="7C973493" w14:textId="77777777" w:rsidR="00764FED" w:rsidRPr="007857CF" w:rsidRDefault="00764FED" w:rsidP="00764FED">
      <w:pPr>
        <w:pStyle w:val="ListParagraph"/>
        <w:numPr>
          <w:ilvl w:val="0"/>
          <w:numId w:val="57"/>
        </w:numPr>
        <w:rPr>
          <w:rFonts w:cstheme="minorHAnsi"/>
          <w:color w:val="000000" w:themeColor="text1"/>
        </w:rPr>
      </w:pPr>
      <w:r w:rsidRPr="007857CF">
        <w:rPr>
          <w:rFonts w:cstheme="minorHAnsi"/>
          <w:color w:val="000000" w:themeColor="text1"/>
        </w:rPr>
        <w:t>EU decision-making for marketing authorization of advanced therapy medicinal products: a case study, de Wilde et al, Drug Discovery Today, Vol 23, No 7, July 2018</w:t>
      </w:r>
    </w:p>
    <w:p w14:paraId="4FC8DB45" w14:textId="77777777" w:rsidR="00764FED" w:rsidRPr="007857CF" w:rsidRDefault="00764FED" w:rsidP="00764FED">
      <w:pPr>
        <w:pStyle w:val="ListParagraph"/>
        <w:rPr>
          <w:rFonts w:cstheme="minorHAnsi"/>
          <w:color w:val="000000" w:themeColor="text1"/>
        </w:rPr>
      </w:pPr>
    </w:p>
    <w:p w14:paraId="6790C73F" w14:textId="77777777" w:rsidR="00764FED" w:rsidRPr="007857CF" w:rsidRDefault="00764FED" w:rsidP="00764FED">
      <w:pPr>
        <w:pStyle w:val="ListParagraph"/>
        <w:numPr>
          <w:ilvl w:val="0"/>
          <w:numId w:val="57"/>
        </w:numPr>
        <w:autoSpaceDE w:val="0"/>
        <w:autoSpaceDN w:val="0"/>
        <w:adjustRightInd w:val="0"/>
        <w:spacing w:after="0"/>
        <w:rPr>
          <w:rFonts w:cstheme="minorHAnsi"/>
        </w:rPr>
      </w:pPr>
      <w:r w:rsidRPr="007857CF">
        <w:rPr>
          <w:rFonts w:cstheme="minorHAnsi"/>
        </w:rPr>
        <w:t>An overview of the Common Technical Document (CTD) Regulatory Dossier, Debbie Jordan, The European Medical Writers Association 2014, Vol. 23, No. 2, pg. 101-105</w:t>
      </w:r>
    </w:p>
    <w:p w14:paraId="3838AC48" w14:textId="77777777" w:rsidR="00764FED" w:rsidRPr="007857CF" w:rsidRDefault="00764FED" w:rsidP="00764FED">
      <w:pPr>
        <w:autoSpaceDE w:val="0"/>
        <w:autoSpaceDN w:val="0"/>
        <w:adjustRightInd w:val="0"/>
        <w:spacing w:after="0"/>
        <w:rPr>
          <w:rFonts w:cstheme="minorHAnsi"/>
          <w:i/>
          <w:iCs/>
        </w:rPr>
      </w:pPr>
    </w:p>
    <w:p w14:paraId="71360B50" w14:textId="77777777" w:rsidR="00764FED" w:rsidRPr="007857CF" w:rsidRDefault="00764FED" w:rsidP="00764FED">
      <w:pPr>
        <w:pStyle w:val="ListParagraph"/>
        <w:numPr>
          <w:ilvl w:val="0"/>
          <w:numId w:val="57"/>
        </w:numPr>
        <w:autoSpaceDE w:val="0"/>
        <w:autoSpaceDN w:val="0"/>
        <w:adjustRightInd w:val="0"/>
        <w:spacing w:after="0"/>
        <w:rPr>
          <w:rFonts w:cstheme="minorHAnsi"/>
          <w:color w:val="000000" w:themeColor="text1"/>
        </w:rPr>
      </w:pPr>
      <w:r w:rsidRPr="007857CF">
        <w:rPr>
          <w:rFonts w:cstheme="minorHAnsi"/>
          <w:iCs/>
        </w:rPr>
        <w:t>Good Review Practices - A Common Regulatory Language - Influenced by the CTD,</w:t>
      </w:r>
      <w:r w:rsidRPr="007857CF">
        <w:rPr>
          <w:rFonts w:cstheme="minorHAnsi"/>
          <w:i/>
          <w:iCs/>
        </w:rPr>
        <w:t xml:space="preserve"> </w:t>
      </w:r>
      <w:r w:rsidRPr="007857CF">
        <w:rPr>
          <w:rFonts w:cstheme="minorHAnsi"/>
        </w:rPr>
        <w:t>Justina A. Molzon, Center for Drug Development and Research, U.S. Food and Drug Administration, Presentation at 34rd Latin American Regulatory Conference, Panama City, Panama, April 13-15, 2011</w:t>
      </w:r>
    </w:p>
    <w:p w14:paraId="415CEF01" w14:textId="77777777" w:rsidR="00764FED" w:rsidRPr="007857CF" w:rsidRDefault="00764FED" w:rsidP="00764FED">
      <w:pPr>
        <w:pStyle w:val="ListParagraph"/>
        <w:rPr>
          <w:rFonts w:cstheme="minorHAnsi"/>
          <w:color w:val="000000" w:themeColor="text1"/>
        </w:rPr>
      </w:pPr>
    </w:p>
    <w:p w14:paraId="2549C56B" w14:textId="77777777" w:rsidR="00764FED" w:rsidRPr="007857CF" w:rsidRDefault="00764FED" w:rsidP="00764FED">
      <w:pPr>
        <w:pStyle w:val="ListParagraph"/>
        <w:numPr>
          <w:ilvl w:val="0"/>
          <w:numId w:val="57"/>
        </w:numPr>
        <w:autoSpaceDE w:val="0"/>
        <w:autoSpaceDN w:val="0"/>
        <w:adjustRightInd w:val="0"/>
        <w:spacing w:after="0"/>
        <w:rPr>
          <w:rFonts w:cstheme="minorHAnsi"/>
          <w:color w:val="000000" w:themeColor="text1"/>
        </w:rPr>
      </w:pPr>
      <w:r w:rsidRPr="007857CF">
        <w:rPr>
          <w:rFonts w:cstheme="minorHAnsi"/>
          <w:color w:val="000000" w:themeColor="text1"/>
        </w:rPr>
        <w:t>Exploring the Regulatory Decision-Making Process for Medicines, Giovanni Tafuri, 2013, World Health Organisation</w:t>
      </w:r>
    </w:p>
    <w:p w14:paraId="1A275B5C" w14:textId="77777777" w:rsidR="00764FED" w:rsidRPr="007857CF" w:rsidRDefault="00764FED" w:rsidP="00764FED">
      <w:pPr>
        <w:pStyle w:val="ListParagraph"/>
        <w:rPr>
          <w:rFonts w:cstheme="minorHAnsi"/>
          <w:bCs/>
          <w:color w:val="000000" w:themeColor="text1"/>
        </w:rPr>
      </w:pPr>
    </w:p>
    <w:p w14:paraId="72E8A8D1" w14:textId="77777777" w:rsidR="00764FED" w:rsidRPr="007857CF" w:rsidRDefault="00764FED" w:rsidP="00764FED">
      <w:pPr>
        <w:pStyle w:val="ListParagraph"/>
        <w:numPr>
          <w:ilvl w:val="0"/>
          <w:numId w:val="57"/>
        </w:numPr>
        <w:autoSpaceDE w:val="0"/>
        <w:autoSpaceDN w:val="0"/>
        <w:adjustRightInd w:val="0"/>
        <w:spacing w:after="0"/>
        <w:rPr>
          <w:rFonts w:cstheme="minorHAnsi"/>
          <w:color w:val="000000" w:themeColor="text1"/>
        </w:rPr>
      </w:pPr>
      <w:r w:rsidRPr="007857CF">
        <w:rPr>
          <w:rFonts w:cstheme="minorHAnsi"/>
          <w:bCs/>
          <w:color w:val="000000" w:themeColor="text1"/>
        </w:rPr>
        <w:t xml:space="preserve">EDQM: 50 Years of Leadership in the Quality of Medicines Paving the Way for the Future, Workshop - Finished Product Monograph, Presentation on </w:t>
      </w:r>
      <w:r w:rsidRPr="007857CF">
        <w:rPr>
          <w:rFonts w:cstheme="minorHAnsi"/>
          <w:color w:val="000000" w:themeColor="text1"/>
        </w:rPr>
        <w:t>6-8 October 2014, Strasbourg, France</w:t>
      </w:r>
    </w:p>
    <w:p w14:paraId="62A1564E" w14:textId="77777777" w:rsidR="00764FED" w:rsidRPr="007857CF" w:rsidRDefault="00764FED" w:rsidP="00764FED">
      <w:pPr>
        <w:pStyle w:val="ListParagraph"/>
        <w:autoSpaceDE w:val="0"/>
        <w:autoSpaceDN w:val="0"/>
        <w:adjustRightInd w:val="0"/>
        <w:spacing w:after="0"/>
        <w:rPr>
          <w:rFonts w:cstheme="minorHAnsi"/>
          <w:color w:val="000000" w:themeColor="text1"/>
        </w:rPr>
      </w:pPr>
    </w:p>
    <w:p w14:paraId="6278DC41" w14:textId="77777777" w:rsidR="00764FED" w:rsidRPr="007857CF" w:rsidRDefault="00764FED" w:rsidP="00764FED">
      <w:pPr>
        <w:pStyle w:val="CM4"/>
        <w:numPr>
          <w:ilvl w:val="0"/>
          <w:numId w:val="57"/>
        </w:numPr>
        <w:spacing w:before="60" w:after="60" w:line="276" w:lineRule="auto"/>
        <w:rPr>
          <w:rFonts w:asciiTheme="minorHAnsi" w:hAnsiTheme="minorHAnsi" w:cstheme="minorHAnsi"/>
          <w:bCs/>
          <w:color w:val="000000"/>
          <w:sz w:val="21"/>
          <w:szCs w:val="21"/>
        </w:rPr>
      </w:pPr>
      <w:r w:rsidRPr="007857CF">
        <w:rPr>
          <w:rFonts w:asciiTheme="minorHAnsi" w:hAnsiTheme="minorHAnsi" w:cstheme="minorHAnsi"/>
          <w:bCs/>
          <w:color w:val="000000"/>
          <w:sz w:val="21"/>
          <w:szCs w:val="21"/>
        </w:rPr>
        <w:t xml:space="preserve">Directive 2001/83/EC of the European Parliament and of the Council of 6 November 2001 on the Community code relating to medicinal products for human use. </w:t>
      </w:r>
    </w:p>
    <w:p w14:paraId="51A6955C" w14:textId="77777777" w:rsidR="00764FED" w:rsidRPr="007857CF" w:rsidRDefault="00764FED" w:rsidP="00764FED">
      <w:pPr>
        <w:autoSpaceDE w:val="0"/>
        <w:autoSpaceDN w:val="0"/>
        <w:adjustRightInd w:val="0"/>
        <w:spacing w:after="0"/>
        <w:rPr>
          <w:rFonts w:cstheme="minorHAnsi"/>
          <w:b/>
          <w:bCs/>
          <w:color w:val="000000"/>
        </w:rPr>
      </w:pPr>
    </w:p>
    <w:p w14:paraId="7EBCCBE6" w14:textId="77777777" w:rsidR="00764FED" w:rsidRPr="007857CF" w:rsidRDefault="00764FED" w:rsidP="00764FED">
      <w:pPr>
        <w:pStyle w:val="ListParagraph"/>
        <w:numPr>
          <w:ilvl w:val="0"/>
          <w:numId w:val="57"/>
        </w:numPr>
        <w:autoSpaceDE w:val="0"/>
        <w:autoSpaceDN w:val="0"/>
        <w:adjustRightInd w:val="0"/>
        <w:spacing w:after="0"/>
        <w:rPr>
          <w:rFonts w:cstheme="minorHAnsi"/>
        </w:rPr>
      </w:pPr>
      <w:r w:rsidRPr="007857CF">
        <w:rPr>
          <w:rFonts w:cstheme="minorHAnsi"/>
          <w:bCs/>
        </w:rPr>
        <w:t>Directive 2004/24/EC of the European Parliament and of the Council of 31 March 2004 amending, as regards traditional herbal medicinal products, Directive 2001/83/EC on the Community code relating to medicinal products for human use.</w:t>
      </w:r>
    </w:p>
    <w:p w14:paraId="2BE742D2" w14:textId="77777777" w:rsidR="00764FED" w:rsidRPr="007857CF" w:rsidRDefault="00764FED" w:rsidP="00764FED">
      <w:pPr>
        <w:pStyle w:val="ListParagraph"/>
        <w:autoSpaceDE w:val="0"/>
        <w:autoSpaceDN w:val="0"/>
        <w:adjustRightInd w:val="0"/>
        <w:spacing w:after="0"/>
        <w:rPr>
          <w:rFonts w:cstheme="minorHAnsi"/>
        </w:rPr>
      </w:pPr>
    </w:p>
    <w:p w14:paraId="61FB4D53" w14:textId="77777777" w:rsidR="00764FED" w:rsidRPr="007857CF" w:rsidRDefault="00764FED" w:rsidP="00764FED">
      <w:pPr>
        <w:pStyle w:val="ListParagraph"/>
        <w:numPr>
          <w:ilvl w:val="0"/>
          <w:numId w:val="57"/>
        </w:numPr>
        <w:rPr>
          <w:rFonts w:cstheme="minorHAnsi"/>
        </w:rPr>
      </w:pPr>
      <w:r w:rsidRPr="007857CF">
        <w:rPr>
          <w:rFonts w:cstheme="minorHAnsi"/>
        </w:rPr>
        <w:t xml:space="preserve">Homeopathic Medicinal Product Working Group (HMPWG) - Points to consider on non-clinical safety of homeopathic medicinal products of botanical, mineral and chemical origin. </w:t>
      </w:r>
    </w:p>
    <w:p w14:paraId="00D25D98" w14:textId="77777777" w:rsidR="00764FED" w:rsidRPr="007857CF" w:rsidRDefault="00764FED" w:rsidP="00764FED">
      <w:pPr>
        <w:pStyle w:val="ListParagraph"/>
        <w:rPr>
          <w:rFonts w:cstheme="minorHAnsi"/>
        </w:rPr>
      </w:pPr>
    </w:p>
    <w:p w14:paraId="215D4E09" w14:textId="77777777" w:rsidR="00764FED" w:rsidRPr="007857CF" w:rsidRDefault="00764FED" w:rsidP="00764FED">
      <w:pPr>
        <w:pStyle w:val="ListParagraph"/>
        <w:numPr>
          <w:ilvl w:val="0"/>
          <w:numId w:val="57"/>
        </w:numPr>
        <w:rPr>
          <w:rFonts w:cstheme="minorHAnsi"/>
        </w:rPr>
      </w:pPr>
      <w:r w:rsidRPr="007857CF">
        <w:rPr>
          <w:rFonts w:cstheme="minorHAnsi"/>
        </w:rPr>
        <w:t>Homeopathic Medicinal Product Working Group (HMPWG) – Guidance on module 3 of the homeopathic medicinal products dossier.</w:t>
      </w:r>
    </w:p>
    <w:p w14:paraId="1387837E" w14:textId="77777777" w:rsidR="00764FED" w:rsidRPr="007857CF" w:rsidRDefault="00764FED" w:rsidP="00764FED">
      <w:pPr>
        <w:pStyle w:val="ListParagraph"/>
        <w:rPr>
          <w:rFonts w:cstheme="minorHAnsi"/>
        </w:rPr>
      </w:pPr>
    </w:p>
    <w:p w14:paraId="50CC3E0B" w14:textId="77777777" w:rsidR="00764FED" w:rsidRPr="007857CF" w:rsidRDefault="00764FED" w:rsidP="00764FED">
      <w:pPr>
        <w:pStyle w:val="ListParagraph"/>
        <w:numPr>
          <w:ilvl w:val="0"/>
          <w:numId w:val="57"/>
        </w:numPr>
        <w:rPr>
          <w:rFonts w:cstheme="minorHAnsi"/>
        </w:rPr>
      </w:pPr>
      <w:r w:rsidRPr="007857CF">
        <w:rPr>
          <w:rFonts w:cstheme="minorHAnsi"/>
        </w:rPr>
        <w:t>Homeopathic Medicinal Product Working Group (HMPWG) – Points to consider on stability testing of homeopathic medicinal products.</w:t>
      </w:r>
    </w:p>
    <w:p w14:paraId="46751635" w14:textId="77777777" w:rsidR="00764FED" w:rsidRPr="007857CF" w:rsidRDefault="00764FED" w:rsidP="00764FED">
      <w:pPr>
        <w:pStyle w:val="ListParagraph"/>
        <w:rPr>
          <w:rFonts w:cstheme="minorHAnsi"/>
        </w:rPr>
      </w:pPr>
    </w:p>
    <w:p w14:paraId="14E1C81F" w14:textId="77777777" w:rsidR="00764FED" w:rsidRPr="007857CF" w:rsidRDefault="00764FED" w:rsidP="00764FED">
      <w:pPr>
        <w:pStyle w:val="ListParagraph"/>
        <w:numPr>
          <w:ilvl w:val="0"/>
          <w:numId w:val="57"/>
        </w:numPr>
        <w:rPr>
          <w:rFonts w:cstheme="minorHAnsi"/>
        </w:rPr>
      </w:pPr>
      <w:r w:rsidRPr="007857CF">
        <w:rPr>
          <w:rFonts w:cstheme="minorHAnsi"/>
        </w:rPr>
        <w:t xml:space="preserve">Homeopathic Medicinal Product Working Group (HMPWG) - Points to consider on safety of homeopathic medical products from biological origin. </w:t>
      </w:r>
    </w:p>
    <w:p w14:paraId="34C71113" w14:textId="77777777" w:rsidR="00764FED" w:rsidRPr="007857CF" w:rsidRDefault="00764FED" w:rsidP="00764FED">
      <w:pPr>
        <w:pStyle w:val="ListParagraph"/>
        <w:rPr>
          <w:rFonts w:cstheme="minorHAnsi"/>
        </w:rPr>
      </w:pPr>
    </w:p>
    <w:p w14:paraId="53E6C823" w14:textId="77777777" w:rsidR="00764FED" w:rsidRPr="007857CF" w:rsidRDefault="00764FED" w:rsidP="00764FED">
      <w:pPr>
        <w:pStyle w:val="ListParagraph"/>
        <w:numPr>
          <w:ilvl w:val="0"/>
          <w:numId w:val="57"/>
        </w:numPr>
        <w:rPr>
          <w:rFonts w:cstheme="minorHAnsi"/>
        </w:rPr>
      </w:pPr>
      <w:r w:rsidRPr="007857CF">
        <w:rPr>
          <w:rFonts w:cstheme="minorHAnsi"/>
        </w:rPr>
        <w:t>Homeopathic Medicinal Product Working Group (HMPWG) – Points to consider on the selection of microbial limits for non-sterile homeopathic raw materials, stocks, preparations and products.</w:t>
      </w:r>
    </w:p>
    <w:p w14:paraId="5798D66F" w14:textId="77777777" w:rsidR="00764FED" w:rsidRPr="007857CF" w:rsidRDefault="00764FED" w:rsidP="00764FED">
      <w:pPr>
        <w:pStyle w:val="ListParagraph"/>
        <w:rPr>
          <w:rFonts w:cstheme="minorHAnsi"/>
        </w:rPr>
      </w:pPr>
    </w:p>
    <w:p w14:paraId="1D67337F" w14:textId="77777777" w:rsidR="00764FED" w:rsidRPr="007857CF" w:rsidRDefault="00764FED" w:rsidP="00764FED">
      <w:pPr>
        <w:pStyle w:val="ListParagraph"/>
        <w:numPr>
          <w:ilvl w:val="0"/>
          <w:numId w:val="57"/>
        </w:numPr>
        <w:rPr>
          <w:rFonts w:cstheme="minorHAnsi"/>
        </w:rPr>
      </w:pPr>
      <w:r w:rsidRPr="007857CF">
        <w:rPr>
          <w:rFonts w:cstheme="minorHAnsi"/>
        </w:rPr>
        <w:t>Homeopathic Medicinal Product Working Group (HMPWG) – Guidance on Module 3.2.S for Nosodes.</w:t>
      </w:r>
    </w:p>
    <w:p w14:paraId="1B2F5A71" w14:textId="77777777" w:rsidR="00764FED" w:rsidRPr="007857CF" w:rsidRDefault="00764FED" w:rsidP="00764FED">
      <w:pPr>
        <w:pStyle w:val="ListParagraph"/>
        <w:rPr>
          <w:rFonts w:cstheme="minorHAnsi"/>
        </w:rPr>
      </w:pPr>
    </w:p>
    <w:p w14:paraId="02AD6996" w14:textId="77777777" w:rsidR="00764FED" w:rsidRPr="007857CF" w:rsidRDefault="00764FED" w:rsidP="00764FED">
      <w:pPr>
        <w:pStyle w:val="ListParagraph"/>
        <w:numPr>
          <w:ilvl w:val="0"/>
          <w:numId w:val="57"/>
        </w:numPr>
        <w:rPr>
          <w:rFonts w:cstheme="minorHAnsi"/>
        </w:rPr>
      </w:pPr>
      <w:r w:rsidRPr="007857CF">
        <w:rPr>
          <w:rFonts w:cstheme="minorHAnsi"/>
        </w:rPr>
        <w:t>Notice to applicants: Medicinal Products for Human Use; Volume 2B: Presentation and content of the dossier; Module 1.2: Administrative Information Application Form - Homeopathic Medicinal Products for Human Use.</w:t>
      </w:r>
    </w:p>
    <w:p w14:paraId="51B84C60" w14:textId="77777777" w:rsidR="00764FED" w:rsidRPr="007857CF" w:rsidRDefault="00764FED" w:rsidP="00764FED">
      <w:pPr>
        <w:pStyle w:val="ListParagraph"/>
        <w:rPr>
          <w:rFonts w:cstheme="minorHAnsi"/>
        </w:rPr>
      </w:pPr>
    </w:p>
    <w:p w14:paraId="2656D127" w14:textId="77777777" w:rsidR="00764FED" w:rsidRPr="007857CF" w:rsidRDefault="00764FED" w:rsidP="00764FED">
      <w:pPr>
        <w:pStyle w:val="ListParagraph"/>
        <w:numPr>
          <w:ilvl w:val="0"/>
          <w:numId w:val="57"/>
        </w:numPr>
        <w:rPr>
          <w:rFonts w:cstheme="minorHAnsi"/>
        </w:rPr>
      </w:pPr>
      <w:r w:rsidRPr="007857CF">
        <w:rPr>
          <w:rFonts w:cstheme="minorHAnsi"/>
        </w:rPr>
        <w:t>Volume 2B: Notice to Applicants; Medicinal Products for Human Use; Presentation and Format of the Dossier; Common Technical Document (CTD).</w:t>
      </w:r>
    </w:p>
    <w:p w14:paraId="6BA27A37" w14:textId="77777777" w:rsidR="00764FED" w:rsidRPr="007857CF" w:rsidRDefault="00764FED" w:rsidP="00764FED">
      <w:pPr>
        <w:pStyle w:val="ListParagraph"/>
        <w:rPr>
          <w:rFonts w:cstheme="minorHAnsi"/>
        </w:rPr>
      </w:pPr>
    </w:p>
    <w:p w14:paraId="533780E6" w14:textId="77777777" w:rsidR="00764FED" w:rsidRPr="007857CF" w:rsidRDefault="00764FED" w:rsidP="00764FED">
      <w:pPr>
        <w:pStyle w:val="ListParagraph"/>
        <w:numPr>
          <w:ilvl w:val="0"/>
          <w:numId w:val="57"/>
        </w:numPr>
        <w:rPr>
          <w:rFonts w:cstheme="minorHAnsi"/>
        </w:rPr>
      </w:pPr>
      <w:r w:rsidRPr="007857CF">
        <w:rPr>
          <w:rFonts w:cstheme="minorHAnsi"/>
        </w:rPr>
        <w:t>World Health Organisation: Safety Issues in the Preparation of Homeopathic Medicines.</w:t>
      </w:r>
    </w:p>
    <w:p w14:paraId="1358C735" w14:textId="77777777" w:rsidR="00764FED" w:rsidRPr="007857CF" w:rsidRDefault="00764FED" w:rsidP="00764FED">
      <w:pPr>
        <w:pStyle w:val="ListParagraph"/>
        <w:rPr>
          <w:rFonts w:cstheme="minorHAnsi"/>
        </w:rPr>
      </w:pPr>
    </w:p>
    <w:p w14:paraId="4FDEF2F3" w14:textId="77777777" w:rsidR="00764FED" w:rsidRPr="007857CF" w:rsidRDefault="00764FED" w:rsidP="00764FED">
      <w:pPr>
        <w:pStyle w:val="ListParagraph"/>
        <w:numPr>
          <w:ilvl w:val="0"/>
          <w:numId w:val="57"/>
        </w:numPr>
        <w:rPr>
          <w:rFonts w:cstheme="minorHAnsi"/>
        </w:rPr>
      </w:pPr>
      <w:r w:rsidRPr="007857CF">
        <w:rPr>
          <w:rFonts w:cstheme="minorHAnsi"/>
        </w:rPr>
        <w:t>HPRA Guide to Registration of Homeopathic Medicinal Products, AUT-G0037-4, 12 Nov 2014.</w:t>
      </w:r>
    </w:p>
    <w:p w14:paraId="371B450C" w14:textId="77777777" w:rsidR="00764FED" w:rsidRPr="007857CF" w:rsidRDefault="00764FED" w:rsidP="00764FED">
      <w:pPr>
        <w:pStyle w:val="ListParagraph"/>
        <w:rPr>
          <w:rFonts w:cstheme="minorHAnsi"/>
        </w:rPr>
      </w:pPr>
    </w:p>
    <w:p w14:paraId="2C349F00" w14:textId="77777777" w:rsidR="00764FED" w:rsidRPr="007857CF" w:rsidRDefault="00764FED" w:rsidP="00764FED">
      <w:pPr>
        <w:pStyle w:val="ListParagraph"/>
        <w:numPr>
          <w:ilvl w:val="0"/>
          <w:numId w:val="57"/>
        </w:numPr>
        <w:rPr>
          <w:rFonts w:cstheme="minorHAnsi"/>
        </w:rPr>
      </w:pPr>
      <w:r w:rsidRPr="007857CF">
        <w:rPr>
          <w:rFonts w:cstheme="minorHAnsi"/>
        </w:rPr>
        <w:t>HPRA Guide to National Rules Scheme for Homeopathic Medicinal Products for Human Use, AUT-G0057-1, 11 May 2010.</w:t>
      </w:r>
    </w:p>
    <w:p w14:paraId="79C47AF8" w14:textId="77777777" w:rsidR="00764FED" w:rsidRPr="007857CF" w:rsidRDefault="00764FED" w:rsidP="00764FED">
      <w:pPr>
        <w:pStyle w:val="HPRACoverGuidefor"/>
        <w:numPr>
          <w:ilvl w:val="0"/>
          <w:numId w:val="57"/>
        </w:numPr>
        <w:autoSpaceDE w:val="0"/>
        <w:autoSpaceDN w:val="0"/>
        <w:adjustRightInd w:val="0"/>
        <w:spacing w:line="276" w:lineRule="auto"/>
        <w:rPr>
          <w:rFonts w:asciiTheme="minorHAnsi" w:hAnsiTheme="minorHAnsi" w:cstheme="minorHAnsi"/>
          <w:sz w:val="21"/>
          <w:szCs w:val="21"/>
        </w:rPr>
      </w:pPr>
      <w:r w:rsidRPr="007857CF">
        <w:rPr>
          <w:rFonts w:asciiTheme="minorHAnsi" w:hAnsiTheme="minorHAnsi" w:cstheme="minorHAnsi"/>
          <w:b w:val="0"/>
          <w:color w:val="000000" w:themeColor="text1"/>
          <w:sz w:val="21"/>
          <w:szCs w:val="21"/>
        </w:rPr>
        <w:t>HPRA Guide to Traditional Herbal Medicinal Products Registration Scheme, AUT-G0029-3, 20 January 2012.</w:t>
      </w:r>
    </w:p>
    <w:p w14:paraId="01AE703D" w14:textId="77777777" w:rsidR="00764FED" w:rsidRPr="007857CF" w:rsidRDefault="00764FED" w:rsidP="00764FED">
      <w:pPr>
        <w:pStyle w:val="ListParagraph"/>
        <w:autoSpaceDE w:val="0"/>
        <w:autoSpaceDN w:val="0"/>
        <w:adjustRightInd w:val="0"/>
        <w:spacing w:after="0"/>
        <w:rPr>
          <w:rFonts w:cstheme="minorHAnsi"/>
        </w:rPr>
      </w:pPr>
    </w:p>
    <w:p w14:paraId="1C147641" w14:textId="77777777" w:rsidR="00764FED" w:rsidRPr="007857CF" w:rsidRDefault="00764FED" w:rsidP="00764FED">
      <w:pPr>
        <w:pStyle w:val="CM4"/>
        <w:numPr>
          <w:ilvl w:val="0"/>
          <w:numId w:val="57"/>
        </w:numPr>
        <w:spacing w:before="60" w:after="60" w:line="276" w:lineRule="auto"/>
        <w:rPr>
          <w:rFonts w:asciiTheme="minorHAnsi" w:hAnsiTheme="minorHAnsi" w:cstheme="minorHAnsi"/>
          <w:bCs/>
          <w:color w:val="000000"/>
          <w:sz w:val="21"/>
          <w:szCs w:val="21"/>
        </w:rPr>
      </w:pPr>
      <w:r w:rsidRPr="007857CF">
        <w:rPr>
          <w:rFonts w:asciiTheme="minorHAnsi" w:hAnsiTheme="minorHAnsi" w:cstheme="minorHAnsi"/>
          <w:bCs/>
          <w:color w:val="000000"/>
          <w:sz w:val="21"/>
          <w:szCs w:val="21"/>
        </w:rPr>
        <w:t>International Conference on Harmonisation of Technical Requirements for Registration of Pharmaceuticals for Human Use, ICH Harmonised Tripartite Guideline, The Common Technical Document for the Registration of Pharmaceuticals for Human Use: Quality – M4Q(R1),  Quality Overall Summary of Module 2, Module 3 : Quality, Current Step 4 version dated 12 September 2002.</w:t>
      </w:r>
    </w:p>
    <w:p w14:paraId="580967E4" w14:textId="77777777" w:rsidR="00764FED" w:rsidRPr="007857CF" w:rsidRDefault="00764FED" w:rsidP="00764FED">
      <w:pPr>
        <w:pStyle w:val="Default"/>
        <w:spacing w:line="276" w:lineRule="auto"/>
        <w:rPr>
          <w:rFonts w:asciiTheme="minorHAnsi" w:hAnsiTheme="minorHAnsi" w:cstheme="minorHAnsi"/>
          <w:sz w:val="21"/>
          <w:szCs w:val="21"/>
        </w:rPr>
      </w:pPr>
    </w:p>
    <w:p w14:paraId="7BE38338" w14:textId="77777777" w:rsidR="00764FED" w:rsidRPr="007857CF" w:rsidRDefault="00764FED" w:rsidP="00764FED">
      <w:pPr>
        <w:pStyle w:val="ListParagraph"/>
        <w:numPr>
          <w:ilvl w:val="0"/>
          <w:numId w:val="57"/>
        </w:numPr>
        <w:autoSpaceDE w:val="0"/>
        <w:autoSpaceDN w:val="0"/>
        <w:adjustRightInd w:val="0"/>
        <w:spacing w:after="0"/>
        <w:rPr>
          <w:rFonts w:cstheme="minorHAnsi"/>
          <w:bCs/>
        </w:rPr>
      </w:pPr>
      <w:r w:rsidRPr="007857CF">
        <w:rPr>
          <w:rFonts w:cstheme="minorHAnsi"/>
          <w:bCs/>
        </w:rPr>
        <w:t>International Conference on Harmonisation of Technical Requirements for Registration of Pharmaceuticals for Human Use, ICH Harmonised Tripartite Guideline, The Common Technical Document for the Registration of Pharmaceuticals for Human Use: Safety – M4S(R2), Nonclinical Overview and Nonclinical Summaries of Module 2, Organisation of Module 4, Current Step 4 version dated 20 December 2002.</w:t>
      </w:r>
    </w:p>
    <w:p w14:paraId="622E030A" w14:textId="77777777" w:rsidR="00764FED" w:rsidRPr="007857CF" w:rsidRDefault="00764FED" w:rsidP="00764FED">
      <w:pPr>
        <w:pStyle w:val="ListParagraph"/>
        <w:autoSpaceDE w:val="0"/>
        <w:autoSpaceDN w:val="0"/>
        <w:adjustRightInd w:val="0"/>
        <w:spacing w:after="0"/>
        <w:rPr>
          <w:rFonts w:cstheme="minorHAnsi"/>
          <w:bCs/>
        </w:rPr>
      </w:pPr>
    </w:p>
    <w:p w14:paraId="5B9DA6BB" w14:textId="77777777" w:rsidR="00764FED" w:rsidRPr="007857CF" w:rsidRDefault="00764FED" w:rsidP="00764FED">
      <w:pPr>
        <w:spacing w:after="0"/>
        <w:rPr>
          <w:rFonts w:cstheme="minorHAnsi"/>
          <w:bCs/>
        </w:rPr>
      </w:pPr>
    </w:p>
    <w:p w14:paraId="4A124380" w14:textId="77777777" w:rsidR="00764FED" w:rsidRPr="007857CF" w:rsidRDefault="00764FED" w:rsidP="00764FED">
      <w:pPr>
        <w:pStyle w:val="ListParagraph"/>
        <w:numPr>
          <w:ilvl w:val="0"/>
          <w:numId w:val="57"/>
        </w:numPr>
        <w:spacing w:after="0"/>
        <w:rPr>
          <w:rFonts w:cstheme="minorHAnsi"/>
          <w:bCs/>
        </w:rPr>
      </w:pPr>
      <w:r w:rsidRPr="007857CF">
        <w:rPr>
          <w:rFonts w:cstheme="minorHAnsi"/>
          <w:bCs/>
        </w:rPr>
        <w:t>Regulation (EU) 2017/745 of the European Parliament and of the Council of 5 April 2017 on Medical Devices</w:t>
      </w:r>
    </w:p>
    <w:p w14:paraId="3AEFAB45" w14:textId="027A189A" w:rsidR="00764FED" w:rsidRPr="007857CF" w:rsidRDefault="00764FED" w:rsidP="007857CF">
      <w:pPr>
        <w:spacing w:after="0"/>
        <w:rPr>
          <w:rFonts w:cstheme="minorHAnsi"/>
          <w:bCs/>
        </w:rPr>
      </w:pPr>
    </w:p>
    <w:p w14:paraId="178A505C" w14:textId="45B7A30C" w:rsidR="00764FED" w:rsidRPr="007857CF" w:rsidRDefault="00764FED" w:rsidP="00764FED">
      <w:pPr>
        <w:pStyle w:val="ListParagraph"/>
        <w:numPr>
          <w:ilvl w:val="0"/>
          <w:numId w:val="57"/>
        </w:numPr>
        <w:spacing w:after="0"/>
        <w:rPr>
          <w:rFonts w:cstheme="minorHAnsi"/>
          <w:bCs/>
        </w:rPr>
      </w:pPr>
      <w:r w:rsidRPr="007857CF">
        <w:rPr>
          <w:rFonts w:cstheme="minorHAnsi"/>
          <w:bCs/>
        </w:rPr>
        <w:t xml:space="preserve">Regulation (EU) 2017/746 of the European Parliament and of the Council of 5 April 2017 on </w:t>
      </w:r>
      <w:r w:rsidR="00B85C40">
        <w:rPr>
          <w:rFonts w:cstheme="minorHAnsi"/>
          <w:bCs/>
          <w:i/>
        </w:rPr>
        <w:t xml:space="preserve">In </w:t>
      </w:r>
      <w:r w:rsidRPr="007857CF">
        <w:rPr>
          <w:rFonts w:cstheme="minorHAnsi"/>
          <w:bCs/>
          <w:i/>
        </w:rPr>
        <w:t>Vitro</w:t>
      </w:r>
      <w:r w:rsidRPr="007857CF">
        <w:rPr>
          <w:rFonts w:cstheme="minorHAnsi"/>
          <w:bCs/>
        </w:rPr>
        <w:t xml:space="preserve"> Diagnostic Medical Devices</w:t>
      </w:r>
    </w:p>
    <w:p w14:paraId="3039882E" w14:textId="77777777" w:rsidR="00764FED" w:rsidRPr="007857CF" w:rsidRDefault="00764FED" w:rsidP="00764FED">
      <w:pPr>
        <w:pStyle w:val="ListParagraph"/>
        <w:spacing w:after="0"/>
        <w:rPr>
          <w:rFonts w:cstheme="minorHAnsi"/>
          <w:bCs/>
        </w:rPr>
      </w:pPr>
    </w:p>
    <w:p w14:paraId="2A2A0D60" w14:textId="77777777" w:rsidR="00764FED" w:rsidRPr="007857CF" w:rsidRDefault="00764FED" w:rsidP="00764FED">
      <w:pPr>
        <w:pStyle w:val="ListParagraph"/>
        <w:numPr>
          <w:ilvl w:val="0"/>
          <w:numId w:val="57"/>
        </w:numPr>
        <w:spacing w:after="0"/>
        <w:rPr>
          <w:rFonts w:cstheme="minorHAnsi"/>
          <w:bCs/>
        </w:rPr>
      </w:pPr>
      <w:r w:rsidRPr="007857CF">
        <w:rPr>
          <w:rFonts w:cstheme="minorHAnsi"/>
          <w:bCs/>
        </w:rPr>
        <w:t xml:space="preserve">MEDDEV 2.7/1 Rev 4 </w:t>
      </w:r>
      <w:r w:rsidRPr="007857CF">
        <w:rPr>
          <w:rFonts w:cstheme="minorHAnsi"/>
        </w:rPr>
        <w:t>Clinical Evaluation: A Guide for Manufacturers and Notified Bodies under Directives 93/42/EEC and 90/385/EEC</w:t>
      </w:r>
    </w:p>
    <w:p w14:paraId="2A4FEC5A" w14:textId="77777777" w:rsidR="00764FED" w:rsidRPr="007857CF" w:rsidRDefault="00764FED" w:rsidP="00764FED">
      <w:pPr>
        <w:pStyle w:val="ListParagraph"/>
        <w:autoSpaceDE w:val="0"/>
        <w:autoSpaceDN w:val="0"/>
        <w:adjustRightInd w:val="0"/>
        <w:spacing w:after="0"/>
        <w:rPr>
          <w:rFonts w:cstheme="minorHAnsi"/>
          <w:bCs/>
        </w:rPr>
      </w:pPr>
    </w:p>
    <w:p w14:paraId="572AEF51" w14:textId="77777777" w:rsidR="00764FED" w:rsidRPr="007857CF" w:rsidRDefault="00764FED" w:rsidP="00764FED">
      <w:pPr>
        <w:pStyle w:val="ListParagraph"/>
        <w:numPr>
          <w:ilvl w:val="0"/>
          <w:numId w:val="57"/>
        </w:numPr>
        <w:autoSpaceDE w:val="0"/>
        <w:autoSpaceDN w:val="0"/>
        <w:adjustRightInd w:val="0"/>
        <w:spacing w:after="0"/>
        <w:rPr>
          <w:rFonts w:cstheme="minorHAnsi"/>
          <w:bCs/>
        </w:rPr>
      </w:pPr>
      <w:r w:rsidRPr="007857CF">
        <w:rPr>
          <w:rFonts w:cstheme="minorHAnsi"/>
          <w:bCs/>
        </w:rPr>
        <w:t>MEDDEV 2.7/2 Rev 2 Guidelines for Competent Authorities for Making a Validation / Assessment of a Clinical Investigation Application under Directives 93/42/EEC and 90/385/EEC</w:t>
      </w:r>
    </w:p>
    <w:p w14:paraId="252BE03A" w14:textId="77777777" w:rsidR="00764FED" w:rsidRPr="007857CF" w:rsidRDefault="00764FED" w:rsidP="00764FED">
      <w:pPr>
        <w:pStyle w:val="ListParagraph"/>
        <w:autoSpaceDE w:val="0"/>
        <w:autoSpaceDN w:val="0"/>
        <w:adjustRightInd w:val="0"/>
        <w:spacing w:after="0"/>
        <w:rPr>
          <w:rFonts w:cstheme="minorHAnsi"/>
          <w:bCs/>
        </w:rPr>
      </w:pPr>
    </w:p>
    <w:p w14:paraId="1F45D6D5" w14:textId="77777777" w:rsidR="00764FED" w:rsidRPr="007857CF" w:rsidRDefault="00764FED" w:rsidP="00764FED">
      <w:pPr>
        <w:pStyle w:val="ListParagraph"/>
        <w:numPr>
          <w:ilvl w:val="0"/>
          <w:numId w:val="57"/>
        </w:numPr>
        <w:autoSpaceDE w:val="0"/>
        <w:autoSpaceDN w:val="0"/>
        <w:adjustRightInd w:val="0"/>
        <w:spacing w:after="0"/>
        <w:rPr>
          <w:rFonts w:cstheme="minorHAnsi"/>
          <w:bCs/>
        </w:rPr>
      </w:pPr>
      <w:r w:rsidRPr="007857CF">
        <w:rPr>
          <w:rFonts w:cstheme="minorHAnsi"/>
          <w:bCs/>
        </w:rPr>
        <w:t>MEDDEV 2.7/4 Guidelines on Clinical Investigation: A Guide for Manufacturers and Notified Bodies</w:t>
      </w:r>
    </w:p>
    <w:p w14:paraId="554F60FA" w14:textId="77777777" w:rsidR="00764FED" w:rsidRPr="007857CF" w:rsidRDefault="00764FED" w:rsidP="00764FED">
      <w:pPr>
        <w:pStyle w:val="ListParagraph"/>
        <w:spacing w:after="0"/>
        <w:rPr>
          <w:rFonts w:cstheme="minorHAnsi"/>
        </w:rPr>
      </w:pPr>
    </w:p>
    <w:p w14:paraId="6148281E" w14:textId="77777777" w:rsidR="00764FED" w:rsidRPr="007857CF" w:rsidRDefault="00764FED" w:rsidP="00764FED">
      <w:pPr>
        <w:pStyle w:val="ListParagraph"/>
        <w:numPr>
          <w:ilvl w:val="0"/>
          <w:numId w:val="57"/>
        </w:numPr>
        <w:spacing w:after="0"/>
        <w:rPr>
          <w:rFonts w:cstheme="minorHAnsi"/>
        </w:rPr>
      </w:pPr>
      <w:r w:rsidRPr="007857CF">
        <w:rPr>
          <w:rFonts w:cstheme="minorHAnsi"/>
        </w:rPr>
        <w:t>Global Harmonisation Task Force GHTF/SG1/N78:2012 Principles of Conformity Assessment for Medical Devices</w:t>
      </w:r>
    </w:p>
    <w:p w14:paraId="2837E3D0" w14:textId="77777777" w:rsidR="00764FED" w:rsidRPr="007857CF" w:rsidRDefault="00764FED" w:rsidP="00764FED">
      <w:pPr>
        <w:pStyle w:val="ListParagraph"/>
        <w:spacing w:after="0"/>
        <w:rPr>
          <w:rFonts w:cstheme="minorHAnsi"/>
        </w:rPr>
      </w:pPr>
    </w:p>
    <w:p w14:paraId="032B5F09" w14:textId="77777777" w:rsidR="00764FED" w:rsidRPr="007857CF" w:rsidRDefault="00764FED" w:rsidP="00764FED">
      <w:pPr>
        <w:pStyle w:val="ListParagraph"/>
        <w:numPr>
          <w:ilvl w:val="0"/>
          <w:numId w:val="57"/>
        </w:numPr>
        <w:spacing w:after="0"/>
        <w:rPr>
          <w:rFonts w:cstheme="minorHAnsi"/>
        </w:rPr>
      </w:pPr>
      <w:r w:rsidRPr="007857CF">
        <w:rPr>
          <w:rFonts w:cstheme="minorHAnsi"/>
        </w:rPr>
        <w:t>International Medical Device Regulators Forum IMDRF/GRRP/WG/N47 FINAL:2018 Essential Principles for Safety and Performance of Medical Devices and IVD Medical Devices</w:t>
      </w:r>
    </w:p>
    <w:p w14:paraId="31E97FC9" w14:textId="77777777" w:rsidR="00764FED" w:rsidRPr="007857CF" w:rsidRDefault="00764FED" w:rsidP="00764FED">
      <w:pPr>
        <w:pStyle w:val="ListParagraph"/>
        <w:spacing w:after="0"/>
        <w:rPr>
          <w:rFonts w:cstheme="minorHAnsi"/>
        </w:rPr>
      </w:pPr>
    </w:p>
    <w:p w14:paraId="65D81F9B" w14:textId="77777777" w:rsidR="00764FED" w:rsidRPr="007857CF" w:rsidRDefault="00764FED" w:rsidP="00764FED">
      <w:pPr>
        <w:pStyle w:val="ListParagraph"/>
        <w:numPr>
          <w:ilvl w:val="0"/>
          <w:numId w:val="57"/>
        </w:numPr>
        <w:spacing w:after="0"/>
        <w:rPr>
          <w:rFonts w:cstheme="minorHAnsi"/>
        </w:rPr>
      </w:pPr>
      <w:r w:rsidRPr="007857CF">
        <w:rPr>
          <w:rFonts w:cstheme="minorHAnsi"/>
        </w:rPr>
        <w:t xml:space="preserve">Global Harmonisation Task Force GHTF/SG1/N063:2011 Summary Technical Documentation (STED) for Demonstrating Conformity to the Essential Principles of Safety and Performance of </w:t>
      </w:r>
      <w:r w:rsidRPr="007857CF">
        <w:rPr>
          <w:rFonts w:cstheme="minorHAnsi"/>
          <w:i/>
        </w:rPr>
        <w:t>In Vitro</w:t>
      </w:r>
      <w:r w:rsidRPr="007857CF">
        <w:rPr>
          <w:rFonts w:cstheme="minorHAnsi"/>
        </w:rPr>
        <w:t xml:space="preserve"> Diagnostic Medical Devices</w:t>
      </w:r>
    </w:p>
    <w:p w14:paraId="2F416922" w14:textId="77777777" w:rsidR="00764FED" w:rsidRPr="007857CF" w:rsidRDefault="00764FED" w:rsidP="00764FED">
      <w:pPr>
        <w:pStyle w:val="ListParagraph"/>
        <w:spacing w:after="0"/>
        <w:rPr>
          <w:rFonts w:cstheme="minorHAnsi"/>
        </w:rPr>
      </w:pPr>
    </w:p>
    <w:p w14:paraId="7B6AFF6F" w14:textId="77777777" w:rsidR="00764FED" w:rsidRPr="007857CF" w:rsidRDefault="00764FED" w:rsidP="00764FED">
      <w:pPr>
        <w:pStyle w:val="ListParagraph"/>
        <w:numPr>
          <w:ilvl w:val="0"/>
          <w:numId w:val="57"/>
        </w:numPr>
        <w:spacing w:after="0"/>
        <w:rPr>
          <w:rFonts w:cstheme="minorHAnsi"/>
        </w:rPr>
      </w:pPr>
      <w:r w:rsidRPr="007857CF">
        <w:rPr>
          <w:rFonts w:cstheme="minorHAnsi"/>
        </w:rPr>
        <w:t>Global Harmonisation Task Force GHTF/SG1/N011:2008 Summary Technical Documentation for Demonstrating Conformity to the Essential Principles of Safety and Performance of Medical Devices (STED)</w:t>
      </w:r>
    </w:p>
    <w:p w14:paraId="52D64D78" w14:textId="77777777" w:rsidR="00764FED" w:rsidRPr="007857CF" w:rsidRDefault="00764FED" w:rsidP="00764FED">
      <w:pPr>
        <w:pStyle w:val="Default"/>
        <w:spacing w:line="276" w:lineRule="auto"/>
        <w:ind w:left="720"/>
        <w:rPr>
          <w:rFonts w:asciiTheme="minorHAnsi" w:hAnsiTheme="minorHAnsi" w:cstheme="minorHAnsi"/>
          <w:sz w:val="21"/>
          <w:szCs w:val="21"/>
        </w:rPr>
      </w:pPr>
    </w:p>
    <w:p w14:paraId="0266D016" w14:textId="77777777" w:rsidR="00764FED" w:rsidRPr="007857CF" w:rsidRDefault="00764FED" w:rsidP="00764FED">
      <w:pPr>
        <w:pStyle w:val="Default"/>
        <w:numPr>
          <w:ilvl w:val="0"/>
          <w:numId w:val="57"/>
        </w:numPr>
        <w:spacing w:line="276" w:lineRule="auto"/>
        <w:rPr>
          <w:rFonts w:asciiTheme="minorHAnsi" w:hAnsiTheme="minorHAnsi" w:cstheme="minorHAnsi"/>
          <w:sz w:val="21"/>
          <w:szCs w:val="21"/>
        </w:rPr>
      </w:pPr>
      <w:r w:rsidRPr="007857CF">
        <w:rPr>
          <w:rFonts w:asciiTheme="minorHAnsi" w:hAnsiTheme="minorHAnsi" w:cstheme="minorHAnsi"/>
          <w:sz w:val="21"/>
          <w:szCs w:val="21"/>
        </w:rPr>
        <w:t xml:space="preserve">Global Harmonisation Task Force GHTF/SG5/N8:2012 </w:t>
      </w:r>
      <w:r w:rsidRPr="007857CF">
        <w:rPr>
          <w:rFonts w:asciiTheme="minorHAnsi" w:hAnsiTheme="minorHAnsi" w:cstheme="minorHAnsi"/>
          <w:bCs/>
          <w:sz w:val="21"/>
          <w:szCs w:val="21"/>
        </w:rPr>
        <w:t xml:space="preserve">Clinical Evidence for IVD Medical Devices - </w:t>
      </w:r>
      <w:r w:rsidRPr="007857CF">
        <w:rPr>
          <w:rFonts w:asciiTheme="minorHAnsi" w:hAnsiTheme="minorHAnsi" w:cstheme="minorHAnsi"/>
          <w:sz w:val="21"/>
          <w:szCs w:val="21"/>
        </w:rPr>
        <w:t xml:space="preserve">Clinical Performance Studies for </w:t>
      </w:r>
      <w:r w:rsidRPr="007857CF">
        <w:rPr>
          <w:rFonts w:asciiTheme="minorHAnsi" w:hAnsiTheme="minorHAnsi" w:cstheme="minorHAnsi"/>
          <w:i/>
          <w:sz w:val="21"/>
          <w:szCs w:val="21"/>
        </w:rPr>
        <w:t>In Vitro</w:t>
      </w:r>
      <w:r w:rsidRPr="007857CF">
        <w:rPr>
          <w:rFonts w:asciiTheme="minorHAnsi" w:hAnsiTheme="minorHAnsi" w:cstheme="minorHAnsi"/>
          <w:sz w:val="21"/>
          <w:szCs w:val="21"/>
        </w:rPr>
        <w:t xml:space="preserve"> Diagnostic Medical Devices</w:t>
      </w:r>
    </w:p>
    <w:p w14:paraId="3D498727" w14:textId="77777777" w:rsidR="00764FED" w:rsidRPr="007857CF" w:rsidRDefault="00764FED" w:rsidP="00764FED">
      <w:pPr>
        <w:pStyle w:val="Default"/>
        <w:spacing w:line="276" w:lineRule="auto"/>
        <w:ind w:left="720"/>
        <w:rPr>
          <w:rFonts w:asciiTheme="minorHAnsi" w:hAnsiTheme="minorHAnsi" w:cstheme="minorHAnsi"/>
          <w:sz w:val="21"/>
          <w:szCs w:val="21"/>
        </w:rPr>
      </w:pPr>
    </w:p>
    <w:p w14:paraId="48D2AE9F" w14:textId="72ECE377" w:rsidR="00764FED" w:rsidRDefault="00764FED" w:rsidP="00764FED">
      <w:pPr>
        <w:pStyle w:val="Default"/>
        <w:numPr>
          <w:ilvl w:val="0"/>
          <w:numId w:val="57"/>
        </w:numPr>
        <w:spacing w:line="276" w:lineRule="auto"/>
        <w:rPr>
          <w:rFonts w:asciiTheme="minorHAnsi" w:hAnsiTheme="minorHAnsi" w:cstheme="minorHAnsi"/>
          <w:sz w:val="21"/>
          <w:szCs w:val="21"/>
        </w:rPr>
      </w:pPr>
      <w:r w:rsidRPr="007857CF">
        <w:rPr>
          <w:rFonts w:asciiTheme="minorHAnsi" w:hAnsiTheme="minorHAnsi" w:cstheme="minorHAnsi"/>
          <w:sz w:val="21"/>
          <w:szCs w:val="21"/>
        </w:rPr>
        <w:t>Global Harmonisation Task Force GHTF/SG5/N4:2010 Post-Market Clinical Follow-Up Studies</w:t>
      </w:r>
    </w:p>
    <w:p w14:paraId="0385004C" w14:textId="77777777" w:rsidR="00ED6C53" w:rsidRDefault="00ED6C53" w:rsidP="007857CF">
      <w:pPr>
        <w:pStyle w:val="ListParagraph"/>
        <w:rPr>
          <w:rFonts w:cstheme="minorHAnsi"/>
        </w:rPr>
      </w:pPr>
    </w:p>
    <w:p w14:paraId="65BBAA99" w14:textId="7ED85CB1" w:rsidR="00764FED" w:rsidRDefault="00764FED" w:rsidP="00E26899">
      <w:pPr>
        <w:spacing w:after="0"/>
        <w:jc w:val="both"/>
        <w:rPr>
          <w:rFonts w:cstheme="minorHAnsi"/>
          <w:color w:val="335B74" w:themeColor="text2"/>
        </w:rPr>
      </w:pPr>
    </w:p>
    <w:p w14:paraId="4D68DE46" w14:textId="77777777" w:rsidR="000538A1" w:rsidRPr="007857CF" w:rsidRDefault="000538A1" w:rsidP="00E26899">
      <w:pPr>
        <w:spacing w:after="0"/>
        <w:jc w:val="both"/>
        <w:rPr>
          <w:rFonts w:cstheme="minorHAnsi"/>
          <w:color w:val="335B74" w:themeColor="text2"/>
        </w:rPr>
      </w:pPr>
    </w:p>
    <w:p w14:paraId="088D2605" w14:textId="0886A20B" w:rsidR="00244D9B" w:rsidRPr="00BB4D81" w:rsidRDefault="00244D9B" w:rsidP="00E26899">
      <w:pPr>
        <w:spacing w:after="0"/>
        <w:jc w:val="both"/>
        <w:rPr>
          <w:rFonts w:ascii="Arial" w:hAnsi="Arial" w:cs="Arial"/>
          <w:color w:val="335B74" w:themeColor="text2"/>
          <w:sz w:val="20"/>
          <w:szCs w:val="20"/>
        </w:rPr>
      </w:pPr>
    </w:p>
    <w:p w14:paraId="581018E2" w14:textId="77777777" w:rsidR="005E43CF" w:rsidRPr="00BB4D81" w:rsidRDefault="005E43CF" w:rsidP="005E43CF">
      <w:pPr>
        <w:spacing w:after="0" w:line="240" w:lineRule="auto"/>
        <w:textAlignment w:val="center"/>
        <w:rPr>
          <w:rFonts w:asciiTheme="majorHAnsi" w:eastAsia="Times New Roman" w:hAnsiTheme="majorHAnsi" w:cstheme="majorHAnsi"/>
          <w:lang w:eastAsia="nl-BE"/>
        </w:rPr>
      </w:pPr>
    </w:p>
    <w:p w14:paraId="1782071E" w14:textId="75B06570" w:rsidR="009B3038" w:rsidRDefault="009B3038" w:rsidP="00FD5B07">
      <w:pPr>
        <w:jc w:val="both"/>
        <w:rPr>
          <w:rFonts w:ascii="Calibri Light" w:eastAsia="Times New Roman" w:hAnsi="Calibri Light" w:cs="Times New Roman"/>
          <w:color w:val="2E74B5"/>
          <w:sz w:val="26"/>
          <w:szCs w:val="26"/>
          <w:lang w:eastAsia="en-US"/>
        </w:rPr>
      </w:pPr>
    </w:p>
    <w:p w14:paraId="0B3076BF" w14:textId="77777777" w:rsidR="009B3038" w:rsidRDefault="009B3038">
      <w:pPr>
        <w:rPr>
          <w:rFonts w:ascii="Calibri Light" w:eastAsia="Times New Roman" w:hAnsi="Calibri Light" w:cs="Times New Roman"/>
          <w:color w:val="2E74B5"/>
          <w:sz w:val="26"/>
          <w:szCs w:val="26"/>
          <w:lang w:eastAsia="en-US"/>
        </w:rPr>
      </w:pPr>
      <w:r>
        <w:rPr>
          <w:rFonts w:ascii="Calibri Light" w:eastAsia="Times New Roman" w:hAnsi="Calibri Light" w:cs="Times New Roman"/>
          <w:color w:val="2E74B5"/>
          <w:sz w:val="26"/>
          <w:szCs w:val="26"/>
          <w:lang w:eastAsia="en-US"/>
        </w:rPr>
        <w:br w:type="page"/>
      </w:r>
    </w:p>
    <w:p w14:paraId="425C9AEE" w14:textId="23EA8B45" w:rsidR="005F02D6" w:rsidRDefault="009B3038" w:rsidP="007857CF">
      <w:pPr>
        <w:pStyle w:val="Heading3"/>
        <w:jc w:val="both"/>
        <w:rPr>
          <w:rFonts w:eastAsia="Times New Roman"/>
          <w:b/>
          <w:lang w:eastAsia="en-US"/>
        </w:rPr>
      </w:pPr>
      <w:bookmarkStart w:id="19" w:name="_Toc48388685"/>
      <w:r w:rsidRPr="007857CF">
        <w:rPr>
          <w:rFonts w:eastAsia="Times New Roman"/>
          <w:b/>
          <w:lang w:eastAsia="en-US"/>
        </w:rPr>
        <w:t>Appendix 3 Acronyms</w:t>
      </w:r>
      <w:bookmarkEnd w:id="19"/>
    </w:p>
    <w:p w14:paraId="77ED966D" w14:textId="77777777" w:rsidR="007857CF" w:rsidRPr="007857CF" w:rsidRDefault="007857CF" w:rsidP="007857CF">
      <w:pPr>
        <w:rPr>
          <w:lang w:eastAsia="en-US"/>
        </w:rPr>
      </w:pPr>
    </w:p>
    <w:p w14:paraId="521C49BB"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AESGP</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shd w:val="clear" w:color="auto" w:fill="FFFFFF"/>
        </w:rPr>
        <w:t>Association of the European Self-Care Industry</w:t>
      </w:r>
    </w:p>
    <w:p w14:paraId="22455B7C"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ANSM</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National Agency for the Safety of Medicines and Health Products</w:t>
      </w:r>
    </w:p>
    <w:p w14:paraId="59D361A3" w14:textId="77777777" w:rsidR="00865EBD" w:rsidRPr="003B7DA6" w:rsidRDefault="00865EBD" w:rsidP="00865EBD">
      <w:pPr>
        <w:rPr>
          <w:rFonts w:cstheme="minorHAnsi"/>
          <w:sz w:val="22"/>
          <w:szCs w:val="22"/>
        </w:rPr>
      </w:pPr>
      <w:r w:rsidRPr="003B7DA6">
        <w:rPr>
          <w:rFonts w:cstheme="minorHAnsi"/>
          <w:sz w:val="22"/>
          <w:szCs w:val="22"/>
        </w:rPr>
        <w:t>ART / MAR</w:t>
      </w:r>
      <w:r w:rsidRPr="003B7DA6">
        <w:rPr>
          <w:rFonts w:cstheme="minorHAnsi"/>
          <w:sz w:val="22"/>
          <w:szCs w:val="22"/>
        </w:rPr>
        <w:tab/>
      </w:r>
      <w:r w:rsidRPr="003B7DA6">
        <w:rPr>
          <w:rFonts w:cstheme="minorHAnsi"/>
          <w:sz w:val="22"/>
          <w:szCs w:val="22"/>
        </w:rPr>
        <w:tab/>
        <w:t>Assisted Reproduction Technology / Medically Assisted Reproduction</w:t>
      </w:r>
    </w:p>
    <w:p w14:paraId="1D558FE5" w14:textId="77777777" w:rsidR="00865EBD" w:rsidRPr="003B7DA6" w:rsidRDefault="00865EBD" w:rsidP="00865EBD">
      <w:pPr>
        <w:rPr>
          <w:rFonts w:cstheme="minorHAnsi"/>
          <w:sz w:val="22"/>
          <w:szCs w:val="22"/>
        </w:rPr>
      </w:pPr>
      <w:r w:rsidRPr="003B7DA6">
        <w:rPr>
          <w:rFonts w:cstheme="minorHAnsi"/>
          <w:sz w:val="22"/>
          <w:szCs w:val="22"/>
        </w:rPr>
        <w:t xml:space="preserve">ATMP </w:t>
      </w:r>
      <w:r w:rsidRPr="003B7DA6">
        <w:rPr>
          <w:rFonts w:cstheme="minorHAnsi"/>
          <w:sz w:val="22"/>
          <w:szCs w:val="22"/>
        </w:rPr>
        <w:tab/>
      </w:r>
      <w:r w:rsidRPr="003B7DA6">
        <w:rPr>
          <w:rFonts w:cstheme="minorHAnsi"/>
          <w:sz w:val="22"/>
          <w:szCs w:val="22"/>
        </w:rPr>
        <w:tab/>
      </w:r>
      <w:r w:rsidRPr="003B7DA6">
        <w:rPr>
          <w:rFonts w:cstheme="minorHAnsi"/>
          <w:sz w:val="22"/>
          <w:szCs w:val="22"/>
        </w:rPr>
        <w:tab/>
        <w:t>Advanced Therapy Medicinal Product</w:t>
      </w:r>
    </w:p>
    <w:p w14:paraId="767E0A52" w14:textId="77777777" w:rsidR="00865EBD" w:rsidRPr="003B7DA6" w:rsidRDefault="00865EBD" w:rsidP="00865EBD">
      <w:pPr>
        <w:rPr>
          <w:rFonts w:cstheme="minorHAnsi"/>
          <w:sz w:val="22"/>
          <w:szCs w:val="22"/>
        </w:rPr>
      </w:pPr>
      <w:r w:rsidRPr="003B7DA6">
        <w:rPr>
          <w:rFonts w:cstheme="minorHAnsi"/>
          <w:sz w:val="22"/>
          <w:szCs w:val="22"/>
        </w:rPr>
        <w:t>BE</w:t>
      </w:r>
      <w:r w:rsidRPr="003B7DA6">
        <w:rPr>
          <w:rFonts w:cstheme="minorHAnsi"/>
          <w:sz w:val="22"/>
          <w:szCs w:val="22"/>
        </w:rPr>
        <w:tab/>
      </w:r>
      <w:r w:rsidRPr="003B7DA6">
        <w:rPr>
          <w:rFonts w:cstheme="minorHAnsi"/>
          <w:sz w:val="22"/>
          <w:szCs w:val="22"/>
        </w:rPr>
        <w:tab/>
      </w:r>
      <w:r w:rsidRPr="003B7DA6">
        <w:rPr>
          <w:rFonts w:cstheme="minorHAnsi"/>
          <w:sz w:val="22"/>
          <w:szCs w:val="22"/>
        </w:rPr>
        <w:tab/>
        <w:t>Blood Establishment</w:t>
      </w:r>
    </w:p>
    <w:p w14:paraId="5C5EEC97"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BTC</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Blood, Tissues, Cells</w:t>
      </w:r>
    </w:p>
    <w:p w14:paraId="40A73FFC"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BTCB</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Blood, Tissue, Cell Bank</w:t>
      </w:r>
    </w:p>
    <w:p w14:paraId="6B4E8C4C"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BWP</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Biologics Working Group</w:t>
      </w:r>
    </w:p>
    <w:p w14:paraId="3F693313"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CASoHO</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sz w:val="22"/>
          <w:szCs w:val="22"/>
          <w:lang w:val="en-US" w:eastAsia="en-US"/>
        </w:rPr>
        <w:t>Competent Authorities on Substances of Human Origin</w:t>
      </w:r>
    </w:p>
    <w:p w14:paraId="41D9364B" w14:textId="77777777" w:rsidR="00865EBD" w:rsidRPr="003B7DA6" w:rsidRDefault="00865EBD" w:rsidP="00865EBD">
      <w:pPr>
        <w:rPr>
          <w:rFonts w:cstheme="minorHAnsi"/>
          <w:sz w:val="22"/>
          <w:szCs w:val="22"/>
        </w:rPr>
      </w:pPr>
      <w:r w:rsidRPr="003B7DA6">
        <w:rPr>
          <w:rFonts w:cstheme="minorHAnsi"/>
          <w:sz w:val="22"/>
          <w:szCs w:val="22"/>
        </w:rPr>
        <w:t>CATSALUT</w:t>
      </w:r>
      <w:r w:rsidRPr="003B7DA6">
        <w:rPr>
          <w:rFonts w:cstheme="minorHAnsi"/>
          <w:sz w:val="22"/>
          <w:szCs w:val="22"/>
        </w:rPr>
        <w:tab/>
      </w:r>
      <w:r w:rsidRPr="003B7DA6">
        <w:rPr>
          <w:rFonts w:cstheme="minorHAnsi"/>
          <w:sz w:val="22"/>
          <w:szCs w:val="22"/>
        </w:rPr>
        <w:tab/>
        <w:t>Catalan Health Service</w:t>
      </w:r>
    </w:p>
    <w:p w14:paraId="4504C5A5"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CHMP</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Committee for Medicinal Products for Human Use</w:t>
      </w:r>
    </w:p>
    <w:p w14:paraId="631F2215"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CPP</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Critical Processing Parameters</w:t>
      </w:r>
    </w:p>
    <w:p w14:paraId="3C6B62FC"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CQA</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Critical Quality Attributes</w:t>
      </w:r>
    </w:p>
    <w:p w14:paraId="7EC131D6"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CS</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Common Specifications</w:t>
      </w:r>
    </w:p>
    <w:p w14:paraId="54A1EC35"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CTD</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Common Technical Document</w:t>
      </w:r>
    </w:p>
    <w:p w14:paraId="62EF84B2"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EDQM</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European Directorate of the Quality of Medicines</w:t>
      </w:r>
    </w:p>
    <w:p w14:paraId="19C27988" w14:textId="77777777" w:rsidR="00865EBD" w:rsidRPr="003B7DA6" w:rsidRDefault="00865EBD" w:rsidP="00865EBD">
      <w:pPr>
        <w:ind w:left="2160" w:hanging="2160"/>
        <w:rPr>
          <w:rFonts w:cstheme="minorHAnsi"/>
          <w:b/>
          <w:color w:val="000000" w:themeColor="text1"/>
          <w:sz w:val="22"/>
          <w:szCs w:val="22"/>
          <w:shd w:val="clear" w:color="auto" w:fill="FFFFFF"/>
        </w:rPr>
      </w:pPr>
      <w:r w:rsidRPr="003B7DA6">
        <w:rPr>
          <w:rFonts w:eastAsia="Calibri" w:cstheme="minorHAnsi"/>
          <w:sz w:val="22"/>
          <w:szCs w:val="22"/>
        </w:rPr>
        <w:t>EFPIA-EBE</w:t>
      </w:r>
      <w:r w:rsidRPr="003B7DA6">
        <w:rPr>
          <w:rFonts w:eastAsia="Calibri" w:cstheme="minorHAnsi"/>
          <w:sz w:val="22"/>
          <w:szCs w:val="22"/>
        </w:rPr>
        <w:tab/>
      </w:r>
      <w:r w:rsidRPr="00655DEC">
        <w:rPr>
          <w:rFonts w:cstheme="minorHAnsi"/>
          <w:color w:val="000000" w:themeColor="text1"/>
          <w:sz w:val="22"/>
          <w:szCs w:val="22"/>
          <w:shd w:val="clear" w:color="auto" w:fill="FFFFFF"/>
        </w:rPr>
        <w:t>European Federation of Pharmaceutical Industries and Associations - European Biopharmaceutical Enterprises</w:t>
      </w:r>
    </w:p>
    <w:p w14:paraId="54BD1A37" w14:textId="77777777" w:rsidR="00865EBD" w:rsidRPr="008D21AA" w:rsidRDefault="00865EBD" w:rsidP="00865EBD">
      <w:pPr>
        <w:rPr>
          <w:rFonts w:cstheme="minorHAnsi"/>
          <w:sz w:val="22"/>
          <w:szCs w:val="22"/>
          <w:lang w:val="es-ES"/>
        </w:rPr>
      </w:pPr>
      <w:r w:rsidRPr="008D21AA">
        <w:rPr>
          <w:rFonts w:cstheme="minorHAnsi"/>
          <w:sz w:val="22"/>
          <w:szCs w:val="22"/>
          <w:lang w:val="es-ES"/>
        </w:rPr>
        <w:t>EMA</w:t>
      </w:r>
      <w:r w:rsidRPr="008D21AA">
        <w:rPr>
          <w:rFonts w:cstheme="minorHAnsi"/>
          <w:sz w:val="22"/>
          <w:szCs w:val="22"/>
          <w:lang w:val="es-ES"/>
        </w:rPr>
        <w:tab/>
      </w:r>
      <w:r w:rsidRPr="008D21AA">
        <w:rPr>
          <w:rFonts w:cstheme="minorHAnsi"/>
          <w:sz w:val="22"/>
          <w:szCs w:val="22"/>
          <w:lang w:val="es-ES"/>
        </w:rPr>
        <w:tab/>
      </w:r>
      <w:r w:rsidRPr="008D21AA">
        <w:rPr>
          <w:rFonts w:cstheme="minorHAnsi"/>
          <w:sz w:val="22"/>
          <w:szCs w:val="22"/>
          <w:lang w:val="es-ES"/>
        </w:rPr>
        <w:tab/>
        <w:t>European Medicine Agency</w:t>
      </w:r>
    </w:p>
    <w:p w14:paraId="75A39894" w14:textId="77777777" w:rsidR="00865EBD" w:rsidRPr="008D21AA" w:rsidRDefault="00865EBD" w:rsidP="00865EBD">
      <w:pPr>
        <w:rPr>
          <w:rFonts w:cstheme="minorHAnsi"/>
          <w:sz w:val="22"/>
          <w:szCs w:val="22"/>
          <w:lang w:val="es-ES"/>
        </w:rPr>
      </w:pPr>
      <w:r w:rsidRPr="008D21AA">
        <w:rPr>
          <w:rFonts w:cstheme="minorHAnsi"/>
          <w:sz w:val="22"/>
          <w:szCs w:val="22"/>
          <w:lang w:val="es-ES"/>
        </w:rPr>
        <w:t>EU</w:t>
      </w:r>
      <w:r w:rsidRPr="008D21AA">
        <w:rPr>
          <w:rFonts w:cstheme="minorHAnsi"/>
          <w:sz w:val="22"/>
          <w:szCs w:val="22"/>
          <w:lang w:val="es-ES"/>
        </w:rPr>
        <w:tab/>
      </w:r>
      <w:r w:rsidRPr="008D21AA">
        <w:rPr>
          <w:rFonts w:cstheme="minorHAnsi"/>
          <w:sz w:val="22"/>
          <w:szCs w:val="22"/>
          <w:lang w:val="es-ES"/>
        </w:rPr>
        <w:tab/>
      </w:r>
      <w:r w:rsidRPr="008D21AA">
        <w:rPr>
          <w:rFonts w:cstheme="minorHAnsi"/>
          <w:sz w:val="22"/>
          <w:szCs w:val="22"/>
          <w:lang w:val="es-ES"/>
        </w:rPr>
        <w:tab/>
        <w:t>European Union</w:t>
      </w:r>
    </w:p>
    <w:p w14:paraId="2021557C"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EURO GTP</w:t>
      </w:r>
      <w:r w:rsidRPr="003B7DA6">
        <w:rPr>
          <w:rFonts w:cstheme="minorHAnsi"/>
          <w:color w:val="000000" w:themeColor="text1"/>
          <w:sz w:val="22"/>
          <w:szCs w:val="22"/>
        </w:rPr>
        <w:tab/>
      </w:r>
      <w:r w:rsidRPr="003B7DA6">
        <w:rPr>
          <w:rFonts w:cstheme="minorHAnsi"/>
          <w:color w:val="000000" w:themeColor="text1"/>
          <w:sz w:val="22"/>
          <w:szCs w:val="22"/>
        </w:rPr>
        <w:tab/>
        <w:t>European Good Tissue Practice</w:t>
      </w:r>
    </w:p>
    <w:p w14:paraId="39D9494B" w14:textId="77777777" w:rsidR="00865EBD" w:rsidRPr="003B7DA6" w:rsidRDefault="00865EBD" w:rsidP="00865EBD">
      <w:pPr>
        <w:rPr>
          <w:rFonts w:cstheme="minorHAnsi"/>
          <w:color w:val="000000" w:themeColor="text1"/>
          <w:sz w:val="22"/>
          <w:szCs w:val="22"/>
        </w:rPr>
      </w:pPr>
      <w:r w:rsidRPr="003B7DA6">
        <w:rPr>
          <w:rFonts w:eastAsia="Calibri" w:cstheme="minorHAnsi"/>
          <w:sz w:val="22"/>
          <w:szCs w:val="22"/>
        </w:rPr>
        <w:t>Europa-Bio</w:t>
      </w:r>
      <w:r w:rsidRPr="003B7DA6">
        <w:rPr>
          <w:rFonts w:eastAsia="Calibri" w:cstheme="minorHAnsi"/>
          <w:sz w:val="22"/>
          <w:szCs w:val="22"/>
        </w:rPr>
        <w:tab/>
      </w:r>
      <w:r w:rsidRPr="003B7DA6">
        <w:rPr>
          <w:rFonts w:eastAsia="Calibri" w:cstheme="minorHAnsi"/>
          <w:sz w:val="22"/>
          <w:szCs w:val="22"/>
        </w:rPr>
        <w:tab/>
        <w:t>The European Association for Bioindustries</w:t>
      </w:r>
    </w:p>
    <w:p w14:paraId="5FDD9484"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GMP</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Good Manufacturing Process</w:t>
      </w:r>
    </w:p>
    <w:p w14:paraId="529776BA" w14:textId="77777777" w:rsidR="00865EBD" w:rsidRPr="003B7DA6" w:rsidRDefault="00865EBD" w:rsidP="00865EBD">
      <w:pPr>
        <w:rPr>
          <w:rFonts w:cstheme="minorHAnsi"/>
          <w:color w:val="000000" w:themeColor="text1"/>
          <w:sz w:val="22"/>
          <w:szCs w:val="22"/>
          <w:shd w:val="clear" w:color="auto" w:fill="FFFFFF"/>
        </w:rPr>
      </w:pPr>
      <w:r w:rsidRPr="003B7DA6">
        <w:rPr>
          <w:rFonts w:eastAsia="Times New Roman" w:cstheme="minorHAnsi"/>
          <w:sz w:val="22"/>
          <w:szCs w:val="22"/>
          <w:lang w:eastAsia="en-IE"/>
        </w:rPr>
        <w:t>GTE-PSL</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eastAsia="Times New Roman" w:cstheme="minorHAnsi"/>
          <w:sz w:val="22"/>
          <w:szCs w:val="22"/>
          <w:lang w:eastAsia="en-IE"/>
        </w:rPr>
        <w:t>Group of Experts for the Evaluation of Liable Blood Products</w:t>
      </w:r>
    </w:p>
    <w:p w14:paraId="17B29131" w14:textId="77777777" w:rsidR="00865EBD" w:rsidRPr="003B7DA6" w:rsidRDefault="00865EBD" w:rsidP="00865EBD">
      <w:pPr>
        <w:rPr>
          <w:rFonts w:cstheme="minorHAnsi"/>
          <w:sz w:val="22"/>
          <w:szCs w:val="22"/>
        </w:rPr>
      </w:pPr>
      <w:r w:rsidRPr="003B7DA6">
        <w:rPr>
          <w:rFonts w:cstheme="minorHAnsi"/>
          <w:sz w:val="22"/>
          <w:szCs w:val="22"/>
        </w:rPr>
        <w:t>HPRA</w:t>
      </w:r>
      <w:r w:rsidRPr="003B7DA6">
        <w:rPr>
          <w:rFonts w:cstheme="minorHAnsi"/>
          <w:sz w:val="22"/>
          <w:szCs w:val="22"/>
        </w:rPr>
        <w:tab/>
      </w:r>
      <w:r w:rsidRPr="003B7DA6">
        <w:rPr>
          <w:rFonts w:cstheme="minorHAnsi"/>
          <w:sz w:val="22"/>
          <w:szCs w:val="22"/>
        </w:rPr>
        <w:tab/>
      </w:r>
      <w:r w:rsidRPr="003B7DA6">
        <w:rPr>
          <w:rFonts w:cstheme="minorHAnsi"/>
          <w:sz w:val="22"/>
          <w:szCs w:val="22"/>
        </w:rPr>
        <w:tab/>
        <w:t>Health Products Regulatory Authority</w:t>
      </w:r>
    </w:p>
    <w:p w14:paraId="3878D38D"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HSC / HPSC</w:t>
      </w:r>
      <w:r w:rsidRPr="003B7DA6">
        <w:rPr>
          <w:rFonts w:cstheme="minorHAnsi"/>
          <w:color w:val="000000" w:themeColor="text1"/>
          <w:sz w:val="22"/>
          <w:szCs w:val="22"/>
        </w:rPr>
        <w:tab/>
      </w:r>
      <w:r w:rsidRPr="003B7DA6">
        <w:rPr>
          <w:rFonts w:cstheme="minorHAnsi"/>
          <w:color w:val="000000" w:themeColor="text1"/>
          <w:sz w:val="22"/>
          <w:szCs w:val="22"/>
        </w:rPr>
        <w:tab/>
        <w:t>Haematopoietic Stem Cells / Haematopoietic Peripheral Stem Cells</w:t>
      </w:r>
    </w:p>
    <w:p w14:paraId="0E589E65"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ICH</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International Council for Harmonisation</w:t>
      </w:r>
    </w:p>
    <w:p w14:paraId="78C137D1" w14:textId="77777777" w:rsidR="00865EBD" w:rsidRPr="003B7DA6" w:rsidRDefault="00865EBD" w:rsidP="00865EBD">
      <w:pPr>
        <w:ind w:left="2160" w:hanging="2160"/>
        <w:rPr>
          <w:rFonts w:cstheme="minorHAnsi"/>
          <w:sz w:val="22"/>
          <w:szCs w:val="22"/>
        </w:rPr>
      </w:pPr>
      <w:r w:rsidRPr="003B7DA6">
        <w:rPr>
          <w:rFonts w:cstheme="minorHAnsi"/>
          <w:sz w:val="22"/>
          <w:szCs w:val="22"/>
          <w:lang w:val="en-US" w:eastAsia="en-US"/>
        </w:rPr>
        <w:t>IES</w:t>
      </w:r>
      <w:r w:rsidRPr="003B7DA6">
        <w:rPr>
          <w:rFonts w:cstheme="minorHAnsi"/>
          <w:sz w:val="22"/>
          <w:szCs w:val="22"/>
          <w:lang w:val="en-US"/>
        </w:rPr>
        <w:tab/>
      </w:r>
      <w:r w:rsidRPr="003B7DA6">
        <w:rPr>
          <w:rFonts w:cstheme="minorHAnsi"/>
          <w:sz w:val="22"/>
          <w:szCs w:val="22"/>
          <w:lang w:val="en-US" w:eastAsia="en-US"/>
        </w:rPr>
        <w:t>Commission Expert Sub-Group on Inspections in the Blood and Tissues and Cells Sectors</w:t>
      </w:r>
      <w:r w:rsidRPr="003B7DA6">
        <w:rPr>
          <w:rFonts w:cstheme="minorHAnsi"/>
          <w:sz w:val="22"/>
          <w:szCs w:val="22"/>
        </w:rPr>
        <w:t xml:space="preserve"> </w:t>
      </w:r>
    </w:p>
    <w:p w14:paraId="278756CC" w14:textId="77777777" w:rsidR="00865EBD" w:rsidRPr="003B7DA6" w:rsidRDefault="00865EBD" w:rsidP="00865EBD">
      <w:pPr>
        <w:rPr>
          <w:rFonts w:cstheme="minorHAnsi"/>
          <w:color w:val="000000" w:themeColor="text1"/>
          <w:sz w:val="22"/>
          <w:szCs w:val="22"/>
        </w:rPr>
      </w:pPr>
      <w:r w:rsidRPr="003B7DA6">
        <w:rPr>
          <w:rFonts w:cstheme="minorHAnsi"/>
          <w:sz w:val="22"/>
          <w:szCs w:val="22"/>
        </w:rPr>
        <w:t>ISO</w:t>
      </w:r>
      <w:r w:rsidRPr="003B7DA6">
        <w:rPr>
          <w:rFonts w:cstheme="minorHAnsi"/>
          <w:sz w:val="22"/>
          <w:szCs w:val="22"/>
        </w:rPr>
        <w:tab/>
      </w:r>
      <w:r w:rsidRPr="003B7DA6">
        <w:rPr>
          <w:rFonts w:cstheme="minorHAnsi"/>
          <w:sz w:val="22"/>
          <w:szCs w:val="22"/>
        </w:rPr>
        <w:tab/>
      </w:r>
      <w:r w:rsidRPr="003B7DA6">
        <w:rPr>
          <w:rFonts w:cstheme="minorHAnsi"/>
          <w:sz w:val="22"/>
          <w:szCs w:val="22"/>
        </w:rPr>
        <w:tab/>
      </w:r>
      <w:r w:rsidRPr="003B7DA6">
        <w:rPr>
          <w:rFonts w:cstheme="minorHAnsi"/>
          <w:color w:val="000000" w:themeColor="text1"/>
          <w:sz w:val="22"/>
          <w:szCs w:val="22"/>
        </w:rPr>
        <w:t>International Organisation for Standardisation</w:t>
      </w:r>
    </w:p>
    <w:p w14:paraId="0E198BFB"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IT</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Information Technology</w:t>
      </w:r>
    </w:p>
    <w:p w14:paraId="051BD4AF"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JPAC</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eastAsia="Times New Roman" w:cstheme="minorHAnsi"/>
          <w:sz w:val="22"/>
          <w:szCs w:val="22"/>
          <w:lang w:eastAsia="en-IE"/>
        </w:rPr>
        <w:t>Joint UKBTS/HPA Professional Advisory Committee</w:t>
      </w:r>
    </w:p>
    <w:p w14:paraId="17BAEF68"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MAA</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Marketing Authorisation Application</w:t>
      </w:r>
    </w:p>
    <w:p w14:paraId="797F143D"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MDCG</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Medical Device Coordination Group</w:t>
      </w:r>
    </w:p>
    <w:p w14:paraId="1B384F7D" w14:textId="77777777" w:rsidR="00865EBD" w:rsidRPr="003B7DA6" w:rsidRDefault="00865EBD" w:rsidP="00865EBD">
      <w:pPr>
        <w:rPr>
          <w:rFonts w:cstheme="minorHAnsi"/>
          <w:sz w:val="22"/>
          <w:szCs w:val="22"/>
        </w:rPr>
      </w:pPr>
      <w:r w:rsidRPr="003B7DA6">
        <w:rPr>
          <w:rFonts w:cstheme="minorHAnsi"/>
          <w:sz w:val="22"/>
          <w:szCs w:val="22"/>
        </w:rPr>
        <w:t>MS</w:t>
      </w:r>
      <w:r w:rsidRPr="003B7DA6">
        <w:rPr>
          <w:rFonts w:cstheme="minorHAnsi"/>
          <w:sz w:val="22"/>
          <w:szCs w:val="22"/>
        </w:rPr>
        <w:tab/>
      </w:r>
      <w:r w:rsidRPr="003B7DA6">
        <w:rPr>
          <w:rFonts w:cstheme="minorHAnsi"/>
          <w:sz w:val="22"/>
          <w:szCs w:val="22"/>
        </w:rPr>
        <w:tab/>
      </w:r>
      <w:r w:rsidRPr="003B7DA6">
        <w:rPr>
          <w:rFonts w:cstheme="minorHAnsi"/>
          <w:sz w:val="22"/>
          <w:szCs w:val="22"/>
        </w:rPr>
        <w:tab/>
        <w:t>Member State</w:t>
      </w:r>
    </w:p>
    <w:p w14:paraId="5A4E3478" w14:textId="77777777" w:rsidR="00865EBD" w:rsidRPr="003B7DA6" w:rsidRDefault="00865EBD" w:rsidP="00865EBD">
      <w:pPr>
        <w:rPr>
          <w:rFonts w:cstheme="minorHAnsi"/>
          <w:sz w:val="22"/>
          <w:szCs w:val="22"/>
        </w:rPr>
      </w:pPr>
      <w:r w:rsidRPr="003B7DA6">
        <w:rPr>
          <w:rFonts w:cstheme="minorHAnsi"/>
          <w:sz w:val="22"/>
          <w:szCs w:val="22"/>
        </w:rPr>
        <w:t>NCA / CA</w:t>
      </w:r>
      <w:r w:rsidRPr="003B7DA6">
        <w:rPr>
          <w:rFonts w:cstheme="minorHAnsi"/>
          <w:sz w:val="22"/>
          <w:szCs w:val="22"/>
        </w:rPr>
        <w:tab/>
      </w:r>
      <w:r w:rsidRPr="003B7DA6">
        <w:rPr>
          <w:rFonts w:cstheme="minorHAnsi"/>
          <w:sz w:val="22"/>
          <w:szCs w:val="22"/>
        </w:rPr>
        <w:tab/>
        <w:t>National Competent Authority</w:t>
      </w:r>
    </w:p>
    <w:p w14:paraId="053FB311" w14:textId="77777777" w:rsidR="00865EBD" w:rsidRPr="003B7DA6" w:rsidRDefault="00865EBD" w:rsidP="00865EBD">
      <w:pPr>
        <w:rPr>
          <w:rFonts w:cstheme="minorHAnsi"/>
          <w:sz w:val="22"/>
          <w:szCs w:val="22"/>
        </w:rPr>
      </w:pPr>
      <w:r w:rsidRPr="003B7DA6">
        <w:rPr>
          <w:rFonts w:cstheme="minorHAnsi"/>
          <w:sz w:val="22"/>
          <w:szCs w:val="22"/>
        </w:rPr>
        <w:t>NBP / BP</w:t>
      </w:r>
      <w:r w:rsidRPr="003B7DA6">
        <w:rPr>
          <w:rFonts w:cstheme="minorHAnsi"/>
          <w:sz w:val="22"/>
          <w:szCs w:val="22"/>
        </w:rPr>
        <w:tab/>
      </w:r>
      <w:r w:rsidRPr="003B7DA6">
        <w:rPr>
          <w:rFonts w:cstheme="minorHAnsi"/>
          <w:sz w:val="22"/>
          <w:szCs w:val="22"/>
        </w:rPr>
        <w:tab/>
        <w:t>New Blood Product / Blood Product</w:t>
      </w:r>
    </w:p>
    <w:p w14:paraId="77C553FC" w14:textId="77777777" w:rsidR="00865EBD" w:rsidRPr="003B7DA6" w:rsidRDefault="00865EBD" w:rsidP="00865EBD">
      <w:pPr>
        <w:rPr>
          <w:rFonts w:cstheme="minorHAnsi"/>
          <w:sz w:val="22"/>
          <w:szCs w:val="22"/>
        </w:rPr>
      </w:pPr>
      <w:r w:rsidRPr="003B7DA6">
        <w:rPr>
          <w:rFonts w:cstheme="minorHAnsi"/>
          <w:sz w:val="22"/>
          <w:szCs w:val="22"/>
        </w:rPr>
        <w:t>OCATT</w:t>
      </w:r>
      <w:r w:rsidRPr="003B7DA6">
        <w:rPr>
          <w:rFonts w:cstheme="minorHAnsi"/>
          <w:sz w:val="22"/>
          <w:szCs w:val="22"/>
        </w:rPr>
        <w:tab/>
      </w:r>
      <w:r w:rsidRPr="003B7DA6">
        <w:rPr>
          <w:rFonts w:cstheme="minorHAnsi"/>
          <w:sz w:val="22"/>
          <w:szCs w:val="22"/>
        </w:rPr>
        <w:tab/>
      </w:r>
      <w:r w:rsidRPr="003B7DA6">
        <w:rPr>
          <w:rFonts w:cstheme="minorHAnsi"/>
          <w:sz w:val="22"/>
          <w:szCs w:val="22"/>
        </w:rPr>
        <w:tab/>
        <w:t>Catalan Transplant Organisation</w:t>
      </w:r>
    </w:p>
    <w:p w14:paraId="6833EF51"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rPr>
        <w:t>PEI</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 xml:space="preserve">Paul-Ehrlich-Institute </w:t>
      </w:r>
      <w:r w:rsidRPr="003B7DA6">
        <w:rPr>
          <w:rFonts w:cstheme="minorHAnsi"/>
          <w:color w:val="000000" w:themeColor="text1"/>
          <w:sz w:val="22"/>
          <w:szCs w:val="22"/>
          <w:shd w:val="clear" w:color="auto" w:fill="FFFFFF"/>
        </w:rPr>
        <w:t> </w:t>
      </w:r>
    </w:p>
    <w:p w14:paraId="2B70F189"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PMCF</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Post Market Clinical Follow-up</w:t>
      </w:r>
    </w:p>
    <w:p w14:paraId="26EED8F5"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PP</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Preparation Process</w:t>
      </w:r>
    </w:p>
    <w:p w14:paraId="3405EDB8" w14:textId="77777777" w:rsidR="00865EBD" w:rsidRPr="003B7DA6" w:rsidRDefault="00865EBD" w:rsidP="00865EBD">
      <w:pPr>
        <w:rPr>
          <w:rFonts w:cstheme="minorHAnsi"/>
          <w:sz w:val="22"/>
          <w:szCs w:val="22"/>
        </w:rPr>
      </w:pPr>
      <w:r w:rsidRPr="003B7DA6">
        <w:rPr>
          <w:rFonts w:cstheme="minorHAnsi"/>
          <w:sz w:val="22"/>
          <w:szCs w:val="22"/>
        </w:rPr>
        <w:t xml:space="preserve">PPA </w:t>
      </w:r>
      <w:r w:rsidRPr="003B7DA6">
        <w:rPr>
          <w:rFonts w:cstheme="minorHAnsi"/>
          <w:sz w:val="22"/>
          <w:szCs w:val="22"/>
        </w:rPr>
        <w:tab/>
      </w:r>
      <w:r w:rsidRPr="003B7DA6">
        <w:rPr>
          <w:rFonts w:cstheme="minorHAnsi"/>
          <w:sz w:val="22"/>
          <w:szCs w:val="22"/>
        </w:rPr>
        <w:tab/>
      </w:r>
      <w:r w:rsidRPr="003B7DA6">
        <w:rPr>
          <w:rFonts w:cstheme="minorHAnsi"/>
          <w:sz w:val="22"/>
          <w:szCs w:val="22"/>
        </w:rPr>
        <w:tab/>
        <w:t>Preparation Process Authorisation</w:t>
      </w:r>
      <w:r w:rsidRPr="003B7DA6">
        <w:rPr>
          <w:rFonts w:cstheme="minorHAnsi"/>
          <w:sz w:val="22"/>
          <w:szCs w:val="22"/>
        </w:rPr>
        <w:tab/>
      </w:r>
    </w:p>
    <w:p w14:paraId="627D86F4" w14:textId="77777777" w:rsidR="00865EBD" w:rsidRPr="003B7DA6" w:rsidRDefault="00865EBD" w:rsidP="00865EBD">
      <w:pPr>
        <w:rPr>
          <w:rFonts w:cstheme="minorHAnsi"/>
          <w:sz w:val="22"/>
          <w:szCs w:val="22"/>
        </w:rPr>
      </w:pPr>
      <w:r w:rsidRPr="003B7DA6">
        <w:rPr>
          <w:rFonts w:cstheme="minorHAnsi"/>
          <w:sz w:val="22"/>
          <w:szCs w:val="22"/>
        </w:rPr>
        <w:t>PPD</w:t>
      </w:r>
      <w:r w:rsidRPr="003B7DA6">
        <w:rPr>
          <w:rFonts w:cstheme="minorHAnsi"/>
          <w:sz w:val="22"/>
          <w:szCs w:val="22"/>
        </w:rPr>
        <w:tab/>
      </w:r>
      <w:r w:rsidRPr="003B7DA6">
        <w:rPr>
          <w:rFonts w:cstheme="minorHAnsi"/>
          <w:sz w:val="22"/>
          <w:szCs w:val="22"/>
        </w:rPr>
        <w:tab/>
      </w:r>
      <w:r w:rsidRPr="003B7DA6">
        <w:rPr>
          <w:rFonts w:cstheme="minorHAnsi"/>
          <w:sz w:val="22"/>
          <w:szCs w:val="22"/>
        </w:rPr>
        <w:tab/>
        <w:t>Preparation Process Dossier</w:t>
      </w:r>
    </w:p>
    <w:p w14:paraId="04AF3A0D" w14:textId="77777777" w:rsidR="00865EBD" w:rsidRPr="003B7DA6" w:rsidRDefault="00865EBD" w:rsidP="00865EBD">
      <w:pPr>
        <w:rPr>
          <w:rFonts w:cstheme="minorHAnsi"/>
          <w:sz w:val="22"/>
          <w:szCs w:val="22"/>
        </w:rPr>
      </w:pPr>
      <w:r w:rsidRPr="003B7DA6">
        <w:rPr>
          <w:rFonts w:cstheme="minorHAnsi"/>
          <w:sz w:val="22"/>
          <w:szCs w:val="22"/>
        </w:rPr>
        <w:t>PPTA</w:t>
      </w:r>
      <w:r w:rsidRPr="003B7DA6">
        <w:rPr>
          <w:rFonts w:cstheme="minorHAnsi"/>
          <w:sz w:val="22"/>
          <w:szCs w:val="22"/>
        </w:rPr>
        <w:tab/>
      </w:r>
      <w:r w:rsidRPr="003B7DA6">
        <w:rPr>
          <w:rFonts w:cstheme="minorHAnsi"/>
          <w:sz w:val="22"/>
          <w:szCs w:val="22"/>
        </w:rPr>
        <w:tab/>
      </w:r>
      <w:r w:rsidRPr="003B7DA6">
        <w:rPr>
          <w:rFonts w:cstheme="minorHAnsi"/>
          <w:sz w:val="22"/>
          <w:szCs w:val="22"/>
        </w:rPr>
        <w:tab/>
        <w:t>Plasma Proteins Therapeutic Association</w:t>
      </w:r>
    </w:p>
    <w:p w14:paraId="5152BE6B"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RP</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Responsible Person</w:t>
      </w:r>
    </w:p>
    <w:p w14:paraId="6E5FE376"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SA</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Standing Advisory Committees</w:t>
      </w:r>
    </w:p>
    <w:p w14:paraId="6FA628D7" w14:textId="77777777" w:rsidR="00865EBD" w:rsidRPr="003B7DA6" w:rsidRDefault="00865EBD" w:rsidP="00865EBD">
      <w:pPr>
        <w:rPr>
          <w:rFonts w:eastAsia="Times New Roman" w:cstheme="minorHAnsi"/>
          <w:sz w:val="22"/>
          <w:szCs w:val="22"/>
          <w:lang w:eastAsia="en-IE"/>
        </w:rPr>
      </w:pPr>
      <w:r w:rsidRPr="003B7DA6">
        <w:rPr>
          <w:rFonts w:eastAsia="Times New Roman" w:cstheme="minorHAnsi"/>
          <w:sz w:val="22"/>
          <w:szCs w:val="22"/>
          <w:lang w:eastAsia="en-IE"/>
        </w:rPr>
        <w:t>SACBC</w:t>
      </w:r>
      <w:r w:rsidRPr="003B7DA6">
        <w:rPr>
          <w:rFonts w:eastAsia="Times New Roman" w:cstheme="minorHAnsi"/>
          <w:sz w:val="22"/>
          <w:szCs w:val="22"/>
          <w:lang w:eastAsia="en-IE"/>
        </w:rPr>
        <w:tab/>
      </w:r>
      <w:r w:rsidRPr="003B7DA6">
        <w:rPr>
          <w:rFonts w:eastAsia="Times New Roman" w:cstheme="minorHAnsi"/>
          <w:sz w:val="22"/>
          <w:szCs w:val="22"/>
          <w:lang w:eastAsia="en-IE"/>
        </w:rPr>
        <w:tab/>
      </w:r>
      <w:r w:rsidRPr="003B7DA6">
        <w:rPr>
          <w:rFonts w:eastAsia="Times New Roman" w:cstheme="minorHAnsi"/>
          <w:sz w:val="22"/>
          <w:szCs w:val="22"/>
          <w:lang w:eastAsia="en-IE"/>
        </w:rPr>
        <w:tab/>
        <w:t>Standing Advisory Committee on Blood Components</w:t>
      </w:r>
    </w:p>
    <w:p w14:paraId="5479AD6D"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sz w:val="22"/>
          <w:szCs w:val="22"/>
        </w:rPr>
        <w:t>SACIT</w:t>
      </w:r>
      <w:r w:rsidRPr="003B7DA6">
        <w:rPr>
          <w:rFonts w:cstheme="minorHAnsi"/>
          <w:sz w:val="22"/>
          <w:szCs w:val="22"/>
        </w:rPr>
        <w:tab/>
      </w:r>
      <w:r w:rsidRPr="003B7DA6">
        <w:rPr>
          <w:rFonts w:cstheme="minorHAnsi"/>
          <w:sz w:val="22"/>
          <w:szCs w:val="22"/>
        </w:rPr>
        <w:tab/>
      </w:r>
      <w:r w:rsidRPr="003B7DA6">
        <w:rPr>
          <w:rFonts w:cstheme="minorHAnsi"/>
          <w:sz w:val="22"/>
          <w:szCs w:val="22"/>
        </w:rPr>
        <w:tab/>
        <w:t>Standing Advisory Committee on Information Technology</w:t>
      </w:r>
    </w:p>
    <w:p w14:paraId="5AFF0909"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SARE</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Serious Adverse Reaction / Event</w:t>
      </w:r>
    </w:p>
    <w:p w14:paraId="050A8154"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SAWP</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Scientific Advice Working Party</w:t>
      </w:r>
    </w:p>
    <w:p w14:paraId="7F102BEF" w14:textId="77777777" w:rsidR="00865EBD" w:rsidRPr="003B7DA6" w:rsidRDefault="00865EBD" w:rsidP="00865EBD">
      <w:pPr>
        <w:rPr>
          <w:rFonts w:cstheme="minorHAnsi"/>
          <w:color w:val="000000" w:themeColor="text1"/>
          <w:sz w:val="22"/>
          <w:szCs w:val="22"/>
          <w:shd w:val="clear" w:color="auto" w:fill="FFFFFF"/>
        </w:rPr>
      </w:pPr>
      <w:r w:rsidRPr="003B7DA6">
        <w:rPr>
          <w:rFonts w:cstheme="minorHAnsi"/>
          <w:color w:val="000000" w:themeColor="text1"/>
          <w:sz w:val="22"/>
          <w:szCs w:val="22"/>
          <w:shd w:val="clear" w:color="auto" w:fill="FFFFFF"/>
        </w:rPr>
        <w:t>SOP</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Standard Operating Procedure</w:t>
      </w:r>
    </w:p>
    <w:p w14:paraId="2A726769" w14:textId="77777777" w:rsidR="00865EBD" w:rsidRPr="003B7DA6" w:rsidRDefault="00865EBD" w:rsidP="00865EBD">
      <w:pPr>
        <w:rPr>
          <w:rFonts w:cstheme="minorHAnsi"/>
          <w:color w:val="000000" w:themeColor="text1"/>
          <w:sz w:val="22"/>
          <w:szCs w:val="22"/>
        </w:rPr>
      </w:pPr>
      <w:r w:rsidRPr="003B7DA6">
        <w:rPr>
          <w:rFonts w:cstheme="minorHAnsi"/>
          <w:color w:val="000000" w:themeColor="text1"/>
          <w:sz w:val="22"/>
          <w:szCs w:val="22"/>
        </w:rPr>
        <w:t>TCTP</w:t>
      </w:r>
      <w:r w:rsidRPr="003B7DA6">
        <w:rPr>
          <w:rFonts w:cstheme="minorHAnsi"/>
          <w:color w:val="000000" w:themeColor="text1"/>
          <w:sz w:val="22"/>
          <w:szCs w:val="22"/>
        </w:rPr>
        <w:tab/>
      </w:r>
      <w:r w:rsidRPr="003B7DA6">
        <w:rPr>
          <w:rFonts w:cstheme="minorHAnsi"/>
          <w:color w:val="000000" w:themeColor="text1"/>
          <w:sz w:val="22"/>
          <w:szCs w:val="22"/>
        </w:rPr>
        <w:tab/>
      </w:r>
      <w:r w:rsidRPr="003B7DA6">
        <w:rPr>
          <w:rFonts w:cstheme="minorHAnsi"/>
          <w:color w:val="000000" w:themeColor="text1"/>
          <w:sz w:val="22"/>
          <w:szCs w:val="22"/>
        </w:rPr>
        <w:tab/>
        <w:t>Tissue and Cellular Therapy Product</w:t>
      </w:r>
    </w:p>
    <w:p w14:paraId="01F5FD17" w14:textId="77777777" w:rsidR="00865EBD" w:rsidRPr="003B7DA6" w:rsidRDefault="00865EBD" w:rsidP="00865EBD">
      <w:pPr>
        <w:rPr>
          <w:rFonts w:cstheme="minorHAnsi"/>
          <w:sz w:val="22"/>
          <w:szCs w:val="22"/>
        </w:rPr>
      </w:pPr>
      <w:r w:rsidRPr="003B7DA6">
        <w:rPr>
          <w:rFonts w:cstheme="minorHAnsi"/>
          <w:sz w:val="22"/>
          <w:szCs w:val="22"/>
        </w:rPr>
        <w:t>TE</w:t>
      </w:r>
      <w:r w:rsidRPr="003B7DA6">
        <w:rPr>
          <w:rFonts w:cstheme="minorHAnsi"/>
          <w:sz w:val="22"/>
          <w:szCs w:val="22"/>
        </w:rPr>
        <w:tab/>
      </w:r>
      <w:r w:rsidRPr="003B7DA6">
        <w:rPr>
          <w:rFonts w:cstheme="minorHAnsi"/>
          <w:sz w:val="22"/>
          <w:szCs w:val="22"/>
        </w:rPr>
        <w:tab/>
      </w:r>
      <w:r w:rsidRPr="003B7DA6">
        <w:rPr>
          <w:rFonts w:cstheme="minorHAnsi"/>
          <w:sz w:val="22"/>
          <w:szCs w:val="22"/>
        </w:rPr>
        <w:tab/>
        <w:t>Tissue Establishment</w:t>
      </w:r>
    </w:p>
    <w:p w14:paraId="54FB1BF1" w14:textId="77777777" w:rsidR="00865EBD" w:rsidRPr="003B7DA6" w:rsidRDefault="00865EBD" w:rsidP="00865EBD">
      <w:pPr>
        <w:rPr>
          <w:rFonts w:cstheme="minorHAnsi"/>
          <w:sz w:val="22"/>
          <w:szCs w:val="22"/>
        </w:rPr>
      </w:pPr>
      <w:r w:rsidRPr="003B7DA6">
        <w:rPr>
          <w:rFonts w:cstheme="minorHAnsi"/>
          <w:sz w:val="22"/>
          <w:szCs w:val="22"/>
        </w:rPr>
        <w:t>UKBTS</w:t>
      </w:r>
      <w:r w:rsidRPr="003B7DA6">
        <w:rPr>
          <w:rFonts w:cstheme="minorHAnsi"/>
          <w:sz w:val="22"/>
          <w:szCs w:val="22"/>
        </w:rPr>
        <w:tab/>
      </w:r>
      <w:r w:rsidRPr="003B7DA6">
        <w:rPr>
          <w:rFonts w:cstheme="minorHAnsi"/>
          <w:sz w:val="22"/>
          <w:szCs w:val="22"/>
        </w:rPr>
        <w:tab/>
      </w:r>
      <w:r w:rsidRPr="003B7DA6">
        <w:rPr>
          <w:rFonts w:cstheme="minorHAnsi"/>
          <w:sz w:val="22"/>
          <w:szCs w:val="22"/>
        </w:rPr>
        <w:tab/>
        <w:t>United Kingdom Blood Transfusion Service</w:t>
      </w:r>
    </w:p>
    <w:p w14:paraId="406BDC6C" w14:textId="77777777" w:rsidR="00865EBD" w:rsidRPr="003B7DA6" w:rsidRDefault="00865EBD" w:rsidP="00865EBD">
      <w:pPr>
        <w:pStyle w:val="Default"/>
        <w:ind w:left="2160" w:hanging="2160"/>
        <w:rPr>
          <w:rFonts w:asciiTheme="minorHAnsi" w:hAnsiTheme="minorHAnsi" w:cstheme="minorHAnsi"/>
          <w:color w:val="000000" w:themeColor="text1"/>
          <w:sz w:val="22"/>
          <w:szCs w:val="22"/>
        </w:rPr>
      </w:pPr>
      <w:r w:rsidRPr="003B7DA6">
        <w:rPr>
          <w:rFonts w:asciiTheme="minorHAnsi" w:hAnsiTheme="minorHAnsi" w:cstheme="minorHAnsi"/>
          <w:color w:val="000000" w:themeColor="text1"/>
          <w:sz w:val="22"/>
          <w:szCs w:val="22"/>
        </w:rPr>
        <w:t>VISTART</w:t>
      </w:r>
      <w:r w:rsidRPr="003B7DA6">
        <w:rPr>
          <w:rFonts w:asciiTheme="minorHAnsi" w:hAnsiTheme="minorHAnsi" w:cstheme="minorHAnsi"/>
          <w:color w:val="000000" w:themeColor="text1"/>
          <w:sz w:val="22"/>
          <w:szCs w:val="22"/>
        </w:rPr>
        <w:tab/>
        <w:t>Vigilance and Inspection for the Safety of Transfusion, Assisted Reproduction and Transplantation)</w:t>
      </w:r>
    </w:p>
    <w:p w14:paraId="04F3ECFC" w14:textId="77777777" w:rsidR="00865EBD" w:rsidRPr="003B7DA6" w:rsidRDefault="00865EBD" w:rsidP="00865EBD">
      <w:pPr>
        <w:pStyle w:val="Default"/>
        <w:rPr>
          <w:rFonts w:asciiTheme="minorHAnsi" w:hAnsiTheme="minorHAnsi" w:cstheme="minorHAnsi"/>
          <w:color w:val="000000" w:themeColor="text1"/>
          <w:sz w:val="22"/>
          <w:szCs w:val="22"/>
        </w:rPr>
      </w:pPr>
    </w:p>
    <w:p w14:paraId="1CD7398B" w14:textId="77777777" w:rsidR="00865EBD" w:rsidRPr="003B7DA6" w:rsidRDefault="00865EBD" w:rsidP="00865EBD">
      <w:pPr>
        <w:pStyle w:val="Default"/>
        <w:rPr>
          <w:rFonts w:asciiTheme="minorHAnsi" w:hAnsiTheme="minorHAnsi" w:cstheme="minorHAnsi"/>
          <w:color w:val="000000" w:themeColor="text1"/>
          <w:sz w:val="22"/>
          <w:szCs w:val="22"/>
        </w:rPr>
      </w:pPr>
      <w:r w:rsidRPr="003B7DA6">
        <w:rPr>
          <w:rFonts w:asciiTheme="minorHAnsi" w:hAnsiTheme="minorHAnsi" w:cstheme="minorHAnsi"/>
          <w:sz w:val="22"/>
          <w:szCs w:val="22"/>
        </w:rPr>
        <w:t>WP</w:t>
      </w:r>
      <w:r w:rsidRPr="003B7DA6">
        <w:rPr>
          <w:rFonts w:asciiTheme="minorHAnsi" w:hAnsiTheme="minorHAnsi" w:cstheme="minorHAnsi"/>
          <w:sz w:val="22"/>
          <w:szCs w:val="22"/>
        </w:rPr>
        <w:tab/>
      </w:r>
      <w:r w:rsidRPr="003B7DA6">
        <w:rPr>
          <w:rFonts w:asciiTheme="minorHAnsi" w:hAnsiTheme="minorHAnsi" w:cstheme="minorHAnsi"/>
          <w:sz w:val="22"/>
          <w:szCs w:val="22"/>
        </w:rPr>
        <w:tab/>
      </w:r>
      <w:r w:rsidRPr="003B7DA6">
        <w:rPr>
          <w:rFonts w:asciiTheme="minorHAnsi" w:hAnsiTheme="minorHAnsi" w:cstheme="minorHAnsi"/>
          <w:sz w:val="22"/>
          <w:szCs w:val="22"/>
        </w:rPr>
        <w:tab/>
        <w:t>Work Package</w:t>
      </w:r>
    </w:p>
    <w:p w14:paraId="07C7539B" w14:textId="77777777" w:rsidR="00865EBD" w:rsidRPr="003B7DA6" w:rsidRDefault="00865EBD" w:rsidP="00865EBD">
      <w:pPr>
        <w:pStyle w:val="Default"/>
        <w:rPr>
          <w:rFonts w:asciiTheme="minorHAnsi" w:hAnsiTheme="minorHAnsi" w:cstheme="minorHAnsi"/>
          <w:color w:val="000000" w:themeColor="text1"/>
          <w:sz w:val="22"/>
          <w:szCs w:val="22"/>
        </w:rPr>
      </w:pPr>
    </w:p>
    <w:p w14:paraId="04DF0714" w14:textId="77777777" w:rsidR="00865EBD" w:rsidRPr="003B7DA6" w:rsidRDefault="00865EBD" w:rsidP="00865EBD">
      <w:pPr>
        <w:rPr>
          <w:rFonts w:eastAsia="Times New Roman" w:cstheme="minorHAnsi"/>
          <w:color w:val="2E74B5"/>
          <w:sz w:val="22"/>
          <w:szCs w:val="22"/>
          <w:lang w:eastAsia="en-US"/>
        </w:rPr>
      </w:pPr>
      <w:r w:rsidRPr="003B7DA6">
        <w:rPr>
          <w:rFonts w:cstheme="minorHAnsi"/>
          <w:color w:val="000000" w:themeColor="text1"/>
          <w:sz w:val="22"/>
          <w:szCs w:val="22"/>
          <w:shd w:val="clear" w:color="auto" w:fill="FFFFFF"/>
        </w:rPr>
        <w:t>WHO</w:t>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r>
      <w:r w:rsidRPr="003B7DA6">
        <w:rPr>
          <w:rFonts w:cstheme="minorHAnsi"/>
          <w:color w:val="000000" w:themeColor="text1"/>
          <w:sz w:val="22"/>
          <w:szCs w:val="22"/>
          <w:shd w:val="clear" w:color="auto" w:fill="FFFFFF"/>
        </w:rPr>
        <w:tab/>
        <w:t>World Health Organisation</w:t>
      </w:r>
    </w:p>
    <w:p w14:paraId="75C930BE" w14:textId="77777777" w:rsidR="00865EBD" w:rsidRDefault="00865EBD" w:rsidP="00FD5B07">
      <w:pPr>
        <w:jc w:val="both"/>
        <w:rPr>
          <w:rFonts w:ascii="Calibri Light" w:eastAsia="Times New Roman" w:hAnsi="Calibri Light" w:cs="Times New Roman"/>
          <w:color w:val="2E74B5"/>
          <w:sz w:val="26"/>
          <w:szCs w:val="26"/>
          <w:lang w:eastAsia="en-US"/>
        </w:rPr>
      </w:pPr>
    </w:p>
    <w:p w14:paraId="2ECB0EB0" w14:textId="77777777" w:rsidR="009B3038" w:rsidRPr="00BB4D81" w:rsidRDefault="009B3038" w:rsidP="00FD5B07">
      <w:pPr>
        <w:jc w:val="both"/>
        <w:rPr>
          <w:rFonts w:ascii="Calibri Light" w:eastAsia="Times New Roman" w:hAnsi="Calibri Light" w:cs="Times New Roman"/>
          <w:color w:val="2E74B5"/>
          <w:sz w:val="26"/>
          <w:szCs w:val="26"/>
          <w:lang w:eastAsia="en-US"/>
        </w:rPr>
      </w:pPr>
    </w:p>
    <w:sectPr w:rsidR="009B3038" w:rsidRPr="00BB4D81" w:rsidSect="001B1BA1">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36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F5266" w14:textId="77777777" w:rsidR="00C93CAB" w:rsidRDefault="00C93CAB">
      <w:r>
        <w:separator/>
      </w:r>
    </w:p>
    <w:p w14:paraId="104905B3" w14:textId="77777777" w:rsidR="00C93CAB" w:rsidRDefault="00C93CAB"/>
  </w:endnote>
  <w:endnote w:type="continuationSeparator" w:id="0">
    <w:p w14:paraId="42E1877C" w14:textId="77777777" w:rsidR="00C93CAB" w:rsidRDefault="00C93CAB">
      <w:r>
        <w:continuationSeparator/>
      </w:r>
    </w:p>
    <w:p w14:paraId="61177730" w14:textId="77777777" w:rsidR="00C93CAB" w:rsidRDefault="00C93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Light">
    <w:altName w:val="Gotham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B5FF5" w14:textId="77777777" w:rsidR="00367D3B" w:rsidRDefault="00367D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51A67" w14:textId="40F98690" w:rsidR="00C93CAB" w:rsidRDefault="00C93CAB">
    <w:pPr>
      <w:pStyle w:val="Footer"/>
    </w:pPr>
    <w:bookmarkStart w:id="20" w:name="OLE_LINK1"/>
    <w:bookmarkStart w:id="21" w:name="OLE_LINK2"/>
    <w:bookmarkStart w:id="22" w:name="_Hlk516247358"/>
    <w:r>
      <w:rPr>
        <w:noProof/>
        <w:lang w:eastAsia="en-IE"/>
      </w:rPr>
      <mc:AlternateContent>
        <mc:Choice Requires="wps">
          <w:drawing>
            <wp:anchor distT="45720" distB="45720" distL="114300" distR="114300" simplePos="0" relativeHeight="251669504" behindDoc="0" locked="0" layoutInCell="1" allowOverlap="1" wp14:anchorId="0C337A43" wp14:editId="48780F8E">
              <wp:simplePos x="0" y="0"/>
              <wp:positionH relativeFrom="margin">
                <wp:posOffset>782320</wp:posOffset>
              </wp:positionH>
              <wp:positionV relativeFrom="paragraph">
                <wp:posOffset>-188595</wp:posOffset>
              </wp:positionV>
              <wp:extent cx="5313680" cy="357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357505"/>
                      </a:xfrm>
                      <a:prstGeom prst="rect">
                        <a:avLst/>
                      </a:prstGeom>
                      <a:noFill/>
                      <a:ln w="9525">
                        <a:noFill/>
                        <a:miter lim="800000"/>
                        <a:headEnd/>
                        <a:tailEnd/>
                      </a:ln>
                    </wps:spPr>
                    <wps:txbx>
                      <w:txbxContent>
                        <w:sdt>
                          <w:sdtPr>
                            <w:rPr>
                              <w:i/>
                              <w:iCs/>
                              <w:sz w:val="10"/>
                              <w:szCs w:val="12"/>
                            </w:rPr>
                            <w:alias w:val="Title:"/>
                            <w:tag w:val="Title:"/>
                            <w:id w:val="741999344"/>
                            <w:dataBinding w:prefixMappings="xmlns:ns0='http://purl.org/dc/elements/1.1/' xmlns:ns1='http://schemas.openxmlformats.org/package/2006/metadata/core-properties' " w:xpath="/ns1:coreProperties[1]/ns1:keywords[1]" w:storeItemID="{6C3C8BC8-F283-45AE-878A-BAB7291924A1}"/>
                            <w:text/>
                          </w:sdtPr>
                          <w:sdtEndPr/>
                          <w:sdtContent>
                            <w:p w14:paraId="24A6E6FF" w14:textId="77777777" w:rsidR="00C93CAB" w:rsidRPr="008D766B" w:rsidRDefault="00C93CAB" w:rsidP="006457AF">
                              <w:pPr>
                                <w:pStyle w:val="Footer"/>
                                <w:jc w:val="both"/>
                                <w:rPr>
                                  <w:i/>
                                  <w:iCs/>
                                  <w:sz w:val="10"/>
                                  <w:szCs w:val="12"/>
                                </w:rPr>
                              </w:pPr>
                              <w:r>
                                <w:rPr>
                                  <w:i/>
                                  <w:iCs/>
                                  <w:sz w:val="10"/>
                                  <w:szCs w:val="12"/>
                                </w:rPr>
                                <w:t>This report is part of the project/joint action ‘785269/GAPP’ which has received funding from the European Union’s Health Programme (2014-2020). The content of this report represents the views of the author only and is his/her sole responsibility; it can not be considered to reflect the views of the European Commission and/or the Consumers, Health, Agriculture and Food Executive Agency or any other body of the European Union. The European Commission and the Agency do not accept any responsibility for use that may be made of the information it contains.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37A43" id="_x0000_t202" coordsize="21600,21600" o:spt="202" path="m,l,21600r21600,l21600,xe">
              <v:stroke joinstyle="miter"/>
              <v:path gradientshapeok="t" o:connecttype="rect"/>
            </v:shapetype>
            <v:shape id="Text Box 2" o:spid="_x0000_s1026" type="#_x0000_t202" style="position:absolute;margin-left:61.6pt;margin-top:-14.85pt;width:418.4pt;height:28.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" filled="f" stroked="f">
              <v:textbox>
                <w:txbxContent>
                  <w:sdt>
                    <w:sdtPr>
                      <w:rPr>
                        <w:i/>
                        <w:iCs/>
                        <w:sz w:val="10"/>
                        <w:szCs w:val="12"/>
                      </w:rPr>
                      <w:alias w:val="Title:"/>
                      <w:tag w:val="Title:"/>
                      <w:id w:val="741999344"/>
                      <w:dataBinding w:prefixMappings="xmlns:ns0='http://purl.org/dc/elements/1.1/' xmlns:ns1='http://schemas.openxmlformats.org/package/2006/metadata/core-properties' " w:xpath="/ns1:coreProperties[1]/ns1:keywords[1]" w:storeItemID="{6C3C8BC8-F283-45AE-878A-BAB7291924A1}"/>
                      <w:text/>
                    </w:sdtPr>
                    <w:sdtEndPr/>
                    <w:sdtContent>
                      <w:p w14:paraId="24A6E6FF" w14:textId="77777777" w:rsidR="00C93CAB" w:rsidRPr="008D766B" w:rsidRDefault="00C93CAB" w:rsidP="006457AF">
                        <w:pPr>
                          <w:pStyle w:val="Footer"/>
                          <w:jc w:val="both"/>
                          <w:rPr>
                            <w:i/>
                            <w:iCs/>
                            <w:sz w:val="10"/>
                            <w:szCs w:val="12"/>
                          </w:rPr>
                        </w:pPr>
                        <w:r>
                          <w:rPr>
                            <w:i/>
                            <w:iCs/>
                            <w:sz w:val="10"/>
                            <w:szCs w:val="12"/>
                          </w:rPr>
                          <w:t>This report is part of the project/joint action ‘785269/GAPP’ which has received funding from the European Union’s Health Programme (2014-2020). The content of this report represents the views of the author only and is his/her sole responsibility; it can not be considered to reflect the views of the European Commission and/or the Consumers, Health, Agriculture and Food Executive Agency or any other body of the European Union. The European Commission and the Agency do not accept any responsibility for use that may be made of the information it contains.</w:t>
                        </w:r>
                      </w:p>
                    </w:sdtContent>
                  </w:sdt>
                </w:txbxContent>
              </v:textbox>
              <w10:wrap type="square" anchorx="margin"/>
            </v:shape>
          </w:pict>
        </mc:Fallback>
      </mc:AlternateContent>
    </w:r>
    <w:r>
      <w:rPr>
        <w:noProof/>
        <w:lang w:eastAsia="en-IE"/>
      </w:rPr>
      <mc:AlternateContent>
        <mc:Choice Requires="wps">
          <w:drawing>
            <wp:anchor distT="45720" distB="45720" distL="114300" distR="114300" simplePos="0" relativeHeight="251673600" behindDoc="0" locked="0" layoutInCell="1" allowOverlap="1" wp14:anchorId="2DE61570" wp14:editId="05FF2FB3">
              <wp:simplePos x="0" y="0"/>
              <wp:positionH relativeFrom="column">
                <wp:posOffset>-528320</wp:posOffset>
              </wp:positionH>
              <wp:positionV relativeFrom="paragraph">
                <wp:posOffset>64135</wp:posOffset>
              </wp:positionV>
              <wp:extent cx="1228725" cy="2381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noFill/>
                      <a:ln w="9525">
                        <a:noFill/>
                        <a:miter lim="800000"/>
                        <a:headEnd/>
                        <a:tailEnd/>
                      </a:ln>
                    </wps:spPr>
                    <wps:txbx>
                      <w:txbxContent>
                        <w:p w14:paraId="26976604" w14:textId="77777777" w:rsidR="00C93CAB" w:rsidRPr="00C00F1F" w:rsidRDefault="00C93CAB" w:rsidP="00C00F1F">
                          <w:pPr>
                            <w:jc w:val="center"/>
                            <w:rPr>
                              <w:color w:val="FFFFFF" w:themeColor="background1"/>
                              <w:sz w:val="12"/>
                              <w:szCs w:val="12"/>
                            </w:rPr>
                          </w:pPr>
                          <w:r w:rsidRPr="00C00F1F">
                            <w:rPr>
                              <w:color w:val="FFFFFF" w:themeColor="background1"/>
                              <w:sz w:val="12"/>
                              <w:szCs w:val="12"/>
                            </w:rPr>
                            <w:t>GAPP JA | Deliverable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1570" id="_x0000_s1027" type="#_x0000_t202" style="position:absolute;margin-left:-41.6pt;margin-top:5.05pt;width:96.75pt;height:18.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" filled="f" stroked="f">
              <v:textbox>
                <w:txbxContent>
                  <w:p w14:paraId="26976604" w14:textId="77777777" w:rsidR="00C93CAB" w:rsidRPr="00C00F1F" w:rsidRDefault="00C93CAB" w:rsidP="00C00F1F">
                    <w:pPr>
                      <w:jc w:val="center"/>
                      <w:rPr>
                        <w:color w:val="FFFFFF" w:themeColor="background1"/>
                        <w:sz w:val="12"/>
                        <w:szCs w:val="12"/>
                      </w:rPr>
                    </w:pPr>
                    <w:r w:rsidRPr="00C00F1F">
                      <w:rPr>
                        <w:color w:val="FFFFFF" w:themeColor="background1"/>
                        <w:sz w:val="12"/>
                        <w:szCs w:val="12"/>
                      </w:rPr>
                      <w:t>GAPP JA | Deliverable 0.0</w:t>
                    </w:r>
                  </w:p>
                </w:txbxContent>
              </v:textbox>
            </v:shape>
          </w:pict>
        </mc:Fallback>
      </mc:AlternateContent>
    </w:r>
    <w:r>
      <w:rPr>
        <w:noProof/>
        <w:lang w:eastAsia="en-IE"/>
      </w:rPr>
      <w:drawing>
        <wp:anchor distT="0" distB="0" distL="114300" distR="114300" simplePos="0" relativeHeight="251657214" behindDoc="1" locked="0" layoutInCell="1" allowOverlap="1" wp14:anchorId="41191390" wp14:editId="7A104530">
          <wp:simplePos x="0" y="0"/>
          <wp:positionH relativeFrom="column">
            <wp:posOffset>-447675</wp:posOffset>
          </wp:positionH>
          <wp:positionV relativeFrom="paragraph">
            <wp:posOffset>-176212</wp:posOffset>
          </wp:positionV>
          <wp:extent cx="68580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419100"/>
                  </a:xfrm>
                  <a:prstGeom prst="rect">
                    <a:avLst/>
                  </a:prstGeom>
                  <a:noFill/>
                  <a:ln>
                    <a:noFill/>
                  </a:ln>
                </pic:spPr>
              </pic:pic>
            </a:graphicData>
          </a:graphic>
        </wp:anchor>
      </w:drawing>
    </w:r>
    <w:r>
      <w:rPr>
        <w:noProof/>
        <w:lang w:eastAsia="en-IE"/>
      </w:rPr>
      <mc:AlternateContent>
        <mc:Choice Requires="wps">
          <w:drawing>
            <wp:anchor distT="45720" distB="45720" distL="114300" distR="114300" simplePos="0" relativeHeight="251671552" behindDoc="0" locked="0" layoutInCell="1" allowOverlap="1" wp14:anchorId="44A551E4" wp14:editId="27E2DA55">
              <wp:simplePos x="0" y="0"/>
              <wp:positionH relativeFrom="column">
                <wp:posOffset>6028690</wp:posOffset>
              </wp:positionH>
              <wp:positionV relativeFrom="paragraph">
                <wp:posOffset>-187325</wp:posOffset>
              </wp:positionV>
              <wp:extent cx="348615" cy="2508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50825"/>
                      </a:xfrm>
                      <a:prstGeom prst="rect">
                        <a:avLst/>
                      </a:prstGeom>
                      <a:noFill/>
                      <a:ln w="9525">
                        <a:noFill/>
                        <a:miter lim="800000"/>
                        <a:headEnd/>
                        <a:tailEnd/>
                      </a:ln>
                    </wps:spPr>
                    <wps:txbx>
                      <w:txbxContent>
                        <w:p w14:paraId="18C1885F" w14:textId="4513638F" w:rsidR="00C93CAB" w:rsidRPr="00A46D4C" w:rsidRDefault="00F76523" w:rsidP="006457AF">
                          <w:pPr>
                            <w:pStyle w:val="Footer"/>
                            <w:jc w:val="right"/>
                            <w:rPr>
                              <w:color w:val="0070C0"/>
                              <w:sz w:val="20"/>
                            </w:rPr>
                          </w:pPr>
                          <w:sdt>
                            <w:sdtPr>
                              <w:rPr>
                                <w:color w:val="0070C0"/>
                                <w:sz w:val="20"/>
                              </w:rPr>
                              <w:id w:val="-1920784366"/>
                              <w:docPartObj>
                                <w:docPartGallery w:val="Page Numbers (Bottom of Page)"/>
                                <w:docPartUnique/>
                              </w:docPartObj>
                            </w:sdtPr>
                            <w:sdtEndPr>
                              <w:rPr>
                                <w:noProof/>
                              </w:rPr>
                            </w:sdtEndPr>
                            <w:sdtContent>
                              <w:r w:rsidR="00C93CAB" w:rsidRPr="00A46D4C">
                                <w:rPr>
                                  <w:color w:val="0070C0"/>
                                  <w:sz w:val="20"/>
                                </w:rPr>
                                <w:fldChar w:fldCharType="begin"/>
                              </w:r>
                              <w:r w:rsidR="00C93CAB" w:rsidRPr="00A46D4C">
                                <w:rPr>
                                  <w:color w:val="0070C0"/>
                                  <w:sz w:val="20"/>
                                </w:rPr>
                                <w:instrText xml:space="preserve"> PAGE   \* MERGEFORMAT </w:instrText>
                              </w:r>
                              <w:r w:rsidR="00C93CAB" w:rsidRPr="00A46D4C">
                                <w:rPr>
                                  <w:color w:val="0070C0"/>
                                  <w:sz w:val="20"/>
                                </w:rPr>
                                <w:fldChar w:fldCharType="separate"/>
                              </w:r>
                              <w:r>
                                <w:rPr>
                                  <w:noProof/>
                                  <w:color w:val="0070C0"/>
                                  <w:sz w:val="20"/>
                                </w:rPr>
                                <w:t>1</w:t>
                              </w:r>
                              <w:r w:rsidR="00C93CAB" w:rsidRPr="00A46D4C">
                                <w:rPr>
                                  <w:noProof/>
                                  <w:color w:val="0070C0"/>
                                  <w:sz w:val="20"/>
                                </w:rPr>
                                <w:fldChar w:fldCharType="end"/>
                              </w:r>
                            </w:sdtContent>
                          </w:sdt>
                        </w:p>
                        <w:p w14:paraId="53996FD0" w14:textId="77777777" w:rsidR="00C93CAB" w:rsidRPr="00A46D4C" w:rsidRDefault="00C93CAB">
                          <w:pPr>
                            <w:rPr>
                              <w:color w:val="0070C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551E4" id="_x0000_s1028" type="#_x0000_t202" style="position:absolute;margin-left:474.7pt;margin-top:-14.75pt;width:27.45pt;height:1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" filled="f" stroked="f">
              <v:textbox>
                <w:txbxContent>
                  <w:p w14:paraId="18C1885F" w14:textId="4513638F" w:rsidR="00C93CAB" w:rsidRPr="00A46D4C" w:rsidRDefault="00F76523" w:rsidP="006457AF">
                    <w:pPr>
                      <w:pStyle w:val="Footer"/>
                      <w:jc w:val="right"/>
                      <w:rPr>
                        <w:color w:val="0070C0"/>
                        <w:sz w:val="20"/>
                      </w:rPr>
                    </w:pPr>
                    <w:sdt>
                      <w:sdtPr>
                        <w:rPr>
                          <w:color w:val="0070C0"/>
                          <w:sz w:val="20"/>
                        </w:rPr>
                        <w:id w:val="-1920784366"/>
                        <w:docPartObj>
                          <w:docPartGallery w:val="Page Numbers (Bottom of Page)"/>
                          <w:docPartUnique/>
                        </w:docPartObj>
                      </w:sdtPr>
                      <w:sdtEndPr>
                        <w:rPr>
                          <w:noProof/>
                        </w:rPr>
                      </w:sdtEndPr>
                      <w:sdtContent>
                        <w:r w:rsidR="00C93CAB" w:rsidRPr="00A46D4C">
                          <w:rPr>
                            <w:color w:val="0070C0"/>
                            <w:sz w:val="20"/>
                          </w:rPr>
                          <w:fldChar w:fldCharType="begin"/>
                        </w:r>
                        <w:r w:rsidR="00C93CAB" w:rsidRPr="00A46D4C">
                          <w:rPr>
                            <w:color w:val="0070C0"/>
                            <w:sz w:val="20"/>
                          </w:rPr>
                          <w:instrText xml:space="preserve"> PAGE   \* MERGEFORMAT </w:instrText>
                        </w:r>
                        <w:r w:rsidR="00C93CAB" w:rsidRPr="00A46D4C">
                          <w:rPr>
                            <w:color w:val="0070C0"/>
                            <w:sz w:val="20"/>
                          </w:rPr>
                          <w:fldChar w:fldCharType="separate"/>
                        </w:r>
                        <w:r>
                          <w:rPr>
                            <w:noProof/>
                            <w:color w:val="0070C0"/>
                            <w:sz w:val="20"/>
                          </w:rPr>
                          <w:t>1</w:t>
                        </w:r>
                        <w:r w:rsidR="00C93CAB" w:rsidRPr="00A46D4C">
                          <w:rPr>
                            <w:noProof/>
                            <w:color w:val="0070C0"/>
                            <w:sz w:val="20"/>
                          </w:rPr>
                          <w:fldChar w:fldCharType="end"/>
                        </w:r>
                      </w:sdtContent>
                    </w:sdt>
                  </w:p>
                  <w:p w14:paraId="53996FD0" w14:textId="77777777" w:rsidR="00C93CAB" w:rsidRPr="00A46D4C" w:rsidRDefault="00C93CAB">
                    <w:pPr>
                      <w:rPr>
                        <w:color w:val="0070C0"/>
                        <w:sz w:val="20"/>
                      </w:rPr>
                    </w:pPr>
                  </w:p>
                </w:txbxContent>
              </v:textbox>
              <w10:wrap type="square"/>
            </v:shape>
          </w:pict>
        </mc:Fallback>
      </mc:AlternateContent>
    </w:r>
    <w:r>
      <w:rPr>
        <w:noProof/>
        <w:lang w:eastAsia="en-IE"/>
      </w:rPr>
      <w:drawing>
        <wp:anchor distT="0" distB="0" distL="114300" distR="114300" simplePos="0" relativeHeight="251658239" behindDoc="1" locked="0" layoutInCell="1" allowOverlap="1" wp14:anchorId="460818DC" wp14:editId="3FAE820B">
          <wp:simplePos x="0" y="0"/>
          <wp:positionH relativeFrom="margin">
            <wp:posOffset>-438150</wp:posOffset>
          </wp:positionH>
          <wp:positionV relativeFrom="paragraph">
            <wp:posOffset>-282575</wp:posOffset>
          </wp:positionV>
          <wp:extent cx="1447800" cy="292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292100"/>
                  </a:xfrm>
                  <a:prstGeom prst="rect">
                    <a:avLst/>
                  </a:prstGeom>
                  <a:noFill/>
                  <a:ln>
                    <a:noFill/>
                  </a:ln>
                </pic:spPr>
              </pic:pic>
            </a:graphicData>
          </a:graphic>
        </wp:anchor>
      </w:drawing>
    </w:r>
    <w:r>
      <w:softHyphen/>
    </w:r>
    <w:r>
      <w:softHyphen/>
    </w:r>
    <w:bookmarkEnd w:id="20"/>
    <w:bookmarkEnd w:id="21"/>
    <w:bookmarkEnd w:id="22"/>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E0B9C" w14:textId="0FEB4CDC" w:rsidR="00C93CAB" w:rsidRDefault="00C93CAB">
    <w:pPr>
      <w:pStyle w:val="Footer"/>
    </w:pPr>
    <w:r>
      <w:rPr>
        <w:noProof/>
        <w:lang w:eastAsia="en-IE"/>
      </w:rPr>
      <w:drawing>
        <wp:anchor distT="0" distB="0" distL="114300" distR="114300" simplePos="0" relativeHeight="251680768" behindDoc="0" locked="0" layoutInCell="1" allowOverlap="1" wp14:anchorId="6ABC133D" wp14:editId="4C3AFF86">
          <wp:simplePos x="0" y="0"/>
          <wp:positionH relativeFrom="margin">
            <wp:posOffset>-564078</wp:posOffset>
          </wp:positionH>
          <wp:positionV relativeFrom="paragraph">
            <wp:posOffset>-220873</wp:posOffset>
          </wp:positionV>
          <wp:extent cx="1389413" cy="2921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920" cy="292207"/>
                  </a:xfrm>
                  <a:prstGeom prst="rect">
                    <a:avLst/>
                  </a:prstGeom>
                  <a:noFill/>
                  <a:ln>
                    <a:noFill/>
                  </a:ln>
                </pic:spPr>
              </pic:pic>
            </a:graphicData>
          </a:graphic>
        </wp:anchor>
      </w:drawing>
    </w:r>
    <w:r>
      <w:rPr>
        <w:noProof/>
        <w:lang w:eastAsia="en-IE"/>
      </w:rPr>
      <mc:AlternateContent>
        <mc:Choice Requires="wps">
          <w:drawing>
            <wp:anchor distT="45720" distB="45720" distL="114300" distR="114300" simplePos="0" relativeHeight="251681792" behindDoc="0" locked="0" layoutInCell="1" allowOverlap="1" wp14:anchorId="45F80D88" wp14:editId="7CA63925">
              <wp:simplePos x="0" y="0"/>
              <wp:positionH relativeFrom="margin">
                <wp:posOffset>807085</wp:posOffset>
              </wp:positionH>
              <wp:positionV relativeFrom="paragraph">
                <wp:posOffset>-191770</wp:posOffset>
              </wp:positionV>
              <wp:extent cx="5597525" cy="35750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357505"/>
                      </a:xfrm>
                      <a:prstGeom prst="rect">
                        <a:avLst/>
                      </a:prstGeom>
                      <a:noFill/>
                      <a:ln w="9525">
                        <a:noFill/>
                        <a:miter lim="800000"/>
                        <a:headEnd/>
                        <a:tailEnd/>
                      </a:ln>
                    </wps:spPr>
                    <wps:txbx>
                      <w:txbxContent>
                        <w:sdt>
                          <w:sdtPr>
                            <w:rPr>
                              <w:i/>
                              <w:iCs/>
                              <w:sz w:val="10"/>
                              <w:szCs w:val="12"/>
                            </w:rPr>
                            <w:alias w:val="Title:"/>
                            <w:tag w:val="Title:"/>
                            <w:id w:val="-2036565635"/>
                            <w:dataBinding w:prefixMappings="xmlns:ns0='http://purl.org/dc/elements/1.1/' xmlns:ns1='http://schemas.openxmlformats.org/package/2006/metadata/core-properties' " w:xpath="/ns1:coreProperties[1]/ns1:keywords[1]" w:storeItemID="{6C3C8BC8-F283-45AE-878A-BAB7291924A1}"/>
                            <w:text/>
                          </w:sdtPr>
                          <w:sdtEndPr/>
                          <w:sdtContent>
                            <w:p w14:paraId="416AF4C0" w14:textId="77777777" w:rsidR="00C93CAB" w:rsidRPr="008D766B" w:rsidRDefault="00C93CAB" w:rsidP="00966471">
                              <w:pPr>
                                <w:pStyle w:val="Footer"/>
                                <w:jc w:val="both"/>
                                <w:rPr>
                                  <w:i/>
                                  <w:iCs/>
                                  <w:sz w:val="10"/>
                                  <w:szCs w:val="12"/>
                                </w:rPr>
                              </w:pPr>
                              <w:r>
                                <w:rPr>
                                  <w:i/>
                                  <w:iCs/>
                                  <w:sz w:val="10"/>
                                  <w:szCs w:val="12"/>
                                </w:rPr>
                                <w:t>This report is part of the project/joint action ‘785269/GAPP’ which has received funding from the European Union’s Health Programme (2014-2020). The content of this report represents the views of the author only and is his/her sole responsibility; it can not be considered to reflect the views of the European Commission and/or the Consumers, Health, Agriculture and Food Executive Agency or any other body of the European Union. The European Commission and the Agency do not accept any responsibility for use that may be made of the information it contains.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80D88" id="_x0000_t202" coordsize="21600,21600" o:spt="202" path="m,l,21600r21600,l21600,xe">
              <v:stroke joinstyle="miter"/>
              <v:path gradientshapeok="t" o:connecttype="rect"/>
            </v:shapetype>
            <v:shape id="_x0000_s1029" type="#_x0000_t202" style="position:absolute;margin-left:63.55pt;margin-top:-15.1pt;width:440.75pt;height:28.1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" filled="f" stroked="f">
              <v:textbox>
                <w:txbxContent>
                  <w:sdt>
                    <w:sdtPr>
                      <w:rPr>
                        <w:i/>
                        <w:iCs/>
                        <w:sz w:val="10"/>
                        <w:szCs w:val="12"/>
                      </w:rPr>
                      <w:alias w:val="Title:"/>
                      <w:tag w:val="Title:"/>
                      <w:id w:val="-2036565635"/>
                      <w:dataBinding w:prefixMappings="xmlns:ns0='http://purl.org/dc/elements/1.1/' xmlns:ns1='http://schemas.openxmlformats.org/package/2006/metadata/core-properties' " w:xpath="/ns1:coreProperties[1]/ns1:keywords[1]" w:storeItemID="{6C3C8BC8-F283-45AE-878A-BAB7291924A1}"/>
                      <w:text/>
                    </w:sdtPr>
                    <w:sdtEndPr/>
                    <w:sdtContent>
                      <w:p w14:paraId="416AF4C0" w14:textId="77777777" w:rsidR="00C93CAB" w:rsidRPr="008D766B" w:rsidRDefault="00C93CAB" w:rsidP="00966471">
                        <w:pPr>
                          <w:pStyle w:val="Footer"/>
                          <w:jc w:val="both"/>
                          <w:rPr>
                            <w:i/>
                            <w:iCs/>
                            <w:sz w:val="10"/>
                            <w:szCs w:val="12"/>
                          </w:rPr>
                        </w:pPr>
                        <w:r>
                          <w:rPr>
                            <w:i/>
                            <w:iCs/>
                            <w:sz w:val="10"/>
                            <w:szCs w:val="12"/>
                          </w:rPr>
                          <w:t>This report is part of the project/joint action ‘785269/GAPP’ which has received funding from the European Union’s Health Programme (2014-2020). The content of this report represents the views of the author only and is his/her sole responsibility; it can not be considered to reflect the views of the European Commission and/or the Consumers, Health, Agriculture and Food Executive Agency or any other body of the European Union. The European Commission and the Agency do not accept any responsibility for use that may be made of the information it contains.</w:t>
                        </w:r>
                      </w:p>
                    </w:sdtContent>
                  </w:sdt>
                </w:txbxContent>
              </v:textbox>
              <w10:wrap type="square" anchorx="margin"/>
            </v:shape>
          </w:pict>
        </mc:Fallback>
      </mc:AlternateContent>
    </w:r>
    <w:r>
      <w:rPr>
        <w:noProof/>
        <w:lang w:eastAsia="en-IE"/>
      </w:rPr>
      <w:drawing>
        <wp:anchor distT="0" distB="0" distL="114300" distR="114300" simplePos="0" relativeHeight="251677696" behindDoc="1" locked="0" layoutInCell="1" allowOverlap="1" wp14:anchorId="0381C72C" wp14:editId="24C29C62">
          <wp:simplePos x="0" y="0"/>
          <wp:positionH relativeFrom="column">
            <wp:posOffset>-570016</wp:posOffset>
          </wp:positionH>
          <wp:positionV relativeFrom="paragraph">
            <wp:posOffset>-173371</wp:posOffset>
          </wp:positionV>
          <wp:extent cx="6982691" cy="41910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7377" cy="419381"/>
                  </a:xfrm>
                  <a:prstGeom prst="rect">
                    <a:avLst/>
                  </a:prstGeom>
                  <a:noFill/>
                  <a:ln>
                    <a:noFill/>
                  </a:ln>
                </pic:spPr>
              </pic:pic>
            </a:graphicData>
          </a:graphic>
        </wp:anchor>
      </w:drawing>
    </w:r>
    <w:r>
      <w:softHyphen/>
    </w:r>
    <w:r>
      <w:softHyphen/>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CFBCA" w14:textId="77777777" w:rsidR="00C93CAB" w:rsidRDefault="00C93CAB">
      <w:r>
        <w:separator/>
      </w:r>
    </w:p>
    <w:p w14:paraId="1F54629B" w14:textId="77777777" w:rsidR="00C93CAB" w:rsidRDefault="00C93CAB"/>
  </w:footnote>
  <w:footnote w:type="continuationSeparator" w:id="0">
    <w:p w14:paraId="511D8EE3" w14:textId="77777777" w:rsidR="00C93CAB" w:rsidRDefault="00C93CAB">
      <w:r>
        <w:continuationSeparator/>
      </w:r>
    </w:p>
    <w:p w14:paraId="75FF81DD" w14:textId="77777777" w:rsidR="00C93CAB" w:rsidRDefault="00C93CA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4F1EC" w14:textId="77777777" w:rsidR="00367D3B" w:rsidRDefault="00367D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84B05" w14:textId="77777777" w:rsidR="00C93CAB" w:rsidRDefault="00C93CAB" w:rsidP="00D779D6">
    <w:pPr>
      <w:pStyle w:val="Header"/>
      <w:jc w:val="left"/>
    </w:pPr>
    <w:r>
      <w:rPr>
        <w:noProof/>
        <w:lang w:eastAsia="en-IE"/>
      </w:rPr>
      <w:drawing>
        <wp:anchor distT="0" distB="0" distL="114300" distR="114300" simplePos="0" relativeHeight="251675648" behindDoc="0" locked="0" layoutInCell="1" allowOverlap="1" wp14:anchorId="557C6CDC" wp14:editId="216911E2">
          <wp:simplePos x="0" y="0"/>
          <wp:positionH relativeFrom="column">
            <wp:posOffset>5581650</wp:posOffset>
          </wp:positionH>
          <wp:positionV relativeFrom="paragraph">
            <wp:posOffset>-191770</wp:posOffset>
          </wp:positionV>
          <wp:extent cx="887730" cy="338455"/>
          <wp:effectExtent l="0" t="0" r="762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730" cy="33845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2B738" w14:textId="5924423F" w:rsidR="00C93CAB" w:rsidRDefault="00C93CAB">
    <w:pPr>
      <w:pStyle w:val="Header"/>
    </w:pPr>
    <w:r>
      <w:rPr>
        <w:noProof/>
        <w:lang w:eastAsia="en-IE"/>
      </w:rPr>
      <mc:AlternateContent>
        <mc:Choice Requires="wpg">
          <w:drawing>
            <wp:anchor distT="0" distB="0" distL="114300" distR="114300" simplePos="0" relativeHeight="251656189" behindDoc="0" locked="1" layoutInCell="1" allowOverlap="1" wp14:anchorId="66CDAF3D" wp14:editId="648839F4">
              <wp:simplePos x="0" y="0"/>
              <wp:positionH relativeFrom="page">
                <wp:posOffset>352425</wp:posOffset>
              </wp:positionH>
              <wp:positionV relativeFrom="page">
                <wp:posOffset>457200</wp:posOffset>
              </wp:positionV>
              <wp:extent cx="225425" cy="9143365"/>
              <wp:effectExtent l="0" t="0" r="0" b="0"/>
              <wp:wrapNone/>
              <wp:docPr id="1" name="Group 1"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9143365"/>
                        <a:chOff x="0" y="0"/>
                        <a:chExt cx="228600" cy="9144000"/>
                      </a:xfrm>
                    </wpg:grpSpPr>
                    <wps:wsp>
                      <wps:cNvPr id="3" name="Rectangle 2"/>
                      <wps:cNvSpPr/>
                      <wps:spPr>
                        <a:xfrm>
                          <a:off x="0" y="0"/>
                          <a:ext cx="228600" cy="87820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3"/>
                      <wps:cNvSpPr>
                        <a:spLocks noChangeAspect="1"/>
                      </wps:cNvSpPr>
                      <wps:spPr>
                        <a:xfrm>
                          <a:off x="0" y="8915400"/>
                          <a:ext cx="228600" cy="228600"/>
                        </a:xfrm>
                        <a:prstGeom prst="rect">
                          <a:avLst/>
                        </a:prstGeom>
                        <a:solidFill>
                          <a:srgbClr val="EC18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B87C00B" id="Group 1" o:spid="_x0000_s1026" alt="Decorative sidebar" style="position:absolute;margin-left:27.75pt;margin-top:36pt;width:17.75pt;height:719.95pt;z-index:251656189;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">
              <v:rect id="Rectangle 2"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" fillcolor="#00b0f0" stroked="f" strokeweight="1pt"/>
              <v:rect id="Rectangle 3"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" fillcolor="#ec1856" stroked="f" strokeweight="1pt">
                <v:path arrowok="t"/>
                <o:lock v:ext="edit" aspectratio="t"/>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F50"/>
    <w:multiLevelType w:val="hybridMultilevel"/>
    <w:tmpl w:val="F55458F2"/>
    <w:lvl w:ilvl="0" w:tplc="D3FE525C">
      <w:start w:val="14"/>
      <w:numFmt w:val="bullet"/>
      <w:lvlText w:val="-"/>
      <w:lvlJc w:val="left"/>
      <w:pPr>
        <w:ind w:left="720" w:hanging="360"/>
      </w:pPr>
      <w:rPr>
        <w:rFonts w:ascii="Segoe UI" w:eastAsiaTheme="minorHAnsi" w:hAnsi="Segoe UI" w:cs="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0D333B"/>
    <w:multiLevelType w:val="hybridMultilevel"/>
    <w:tmpl w:val="476A0D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0A230538"/>
    <w:multiLevelType w:val="hybridMultilevel"/>
    <w:tmpl w:val="40AC807C"/>
    <w:lvl w:ilvl="0" w:tplc="38A20488">
      <w:start w:val="1"/>
      <w:numFmt w:val="bullet"/>
      <w:lvlText w:val="-"/>
      <w:lvlJc w:val="left"/>
      <w:pPr>
        <w:ind w:left="720" w:hanging="360"/>
      </w:pPr>
      <w:rPr>
        <w:rFonts w:ascii="Courier New" w:hAnsi="Courier New" w:hint="default"/>
      </w:rPr>
    </w:lvl>
    <w:lvl w:ilvl="1" w:tplc="9C807C92">
      <w:numFmt w:val="bullet"/>
      <w:lvlText w:val="•"/>
      <w:lvlJc w:val="left"/>
      <w:pPr>
        <w:ind w:left="1440" w:hanging="360"/>
      </w:pPr>
      <w:rPr>
        <w:rFonts w:ascii="Gotham Light" w:eastAsiaTheme="minorHAnsi" w:hAnsi="Gotham Light" w:cs="Gotham Light"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974FA7"/>
    <w:multiLevelType w:val="hybridMultilevel"/>
    <w:tmpl w:val="2458B0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F334779"/>
    <w:multiLevelType w:val="hybridMultilevel"/>
    <w:tmpl w:val="D854A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67397B"/>
    <w:multiLevelType w:val="hybridMultilevel"/>
    <w:tmpl w:val="A61E47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3251B1"/>
    <w:multiLevelType w:val="hybridMultilevel"/>
    <w:tmpl w:val="92F2C4EA"/>
    <w:lvl w:ilvl="0" w:tplc="18090001">
      <w:start w:val="1"/>
      <w:numFmt w:val="bullet"/>
      <w:lvlText w:val=""/>
      <w:lvlJc w:val="left"/>
      <w:pPr>
        <w:ind w:left="578" w:hanging="360"/>
      </w:pPr>
      <w:rPr>
        <w:rFonts w:ascii="Symbol" w:hAnsi="Symbol" w:hint="default"/>
      </w:rPr>
    </w:lvl>
    <w:lvl w:ilvl="1" w:tplc="18090003" w:tentative="1">
      <w:start w:val="1"/>
      <w:numFmt w:val="bullet"/>
      <w:lvlText w:val="o"/>
      <w:lvlJc w:val="left"/>
      <w:pPr>
        <w:ind w:left="1298" w:hanging="360"/>
      </w:pPr>
      <w:rPr>
        <w:rFonts w:ascii="Courier New" w:hAnsi="Courier New" w:cs="Courier New" w:hint="default"/>
      </w:rPr>
    </w:lvl>
    <w:lvl w:ilvl="2" w:tplc="18090005" w:tentative="1">
      <w:start w:val="1"/>
      <w:numFmt w:val="bullet"/>
      <w:lvlText w:val=""/>
      <w:lvlJc w:val="left"/>
      <w:pPr>
        <w:ind w:left="2018" w:hanging="360"/>
      </w:pPr>
      <w:rPr>
        <w:rFonts w:ascii="Wingdings" w:hAnsi="Wingdings" w:hint="default"/>
      </w:rPr>
    </w:lvl>
    <w:lvl w:ilvl="3" w:tplc="18090001" w:tentative="1">
      <w:start w:val="1"/>
      <w:numFmt w:val="bullet"/>
      <w:lvlText w:val=""/>
      <w:lvlJc w:val="left"/>
      <w:pPr>
        <w:ind w:left="2738" w:hanging="360"/>
      </w:pPr>
      <w:rPr>
        <w:rFonts w:ascii="Symbol" w:hAnsi="Symbol" w:hint="default"/>
      </w:rPr>
    </w:lvl>
    <w:lvl w:ilvl="4" w:tplc="18090003" w:tentative="1">
      <w:start w:val="1"/>
      <w:numFmt w:val="bullet"/>
      <w:lvlText w:val="o"/>
      <w:lvlJc w:val="left"/>
      <w:pPr>
        <w:ind w:left="3458" w:hanging="360"/>
      </w:pPr>
      <w:rPr>
        <w:rFonts w:ascii="Courier New" w:hAnsi="Courier New" w:cs="Courier New" w:hint="default"/>
      </w:rPr>
    </w:lvl>
    <w:lvl w:ilvl="5" w:tplc="18090005" w:tentative="1">
      <w:start w:val="1"/>
      <w:numFmt w:val="bullet"/>
      <w:lvlText w:val=""/>
      <w:lvlJc w:val="left"/>
      <w:pPr>
        <w:ind w:left="4178" w:hanging="360"/>
      </w:pPr>
      <w:rPr>
        <w:rFonts w:ascii="Wingdings" w:hAnsi="Wingdings" w:hint="default"/>
      </w:rPr>
    </w:lvl>
    <w:lvl w:ilvl="6" w:tplc="18090001" w:tentative="1">
      <w:start w:val="1"/>
      <w:numFmt w:val="bullet"/>
      <w:lvlText w:val=""/>
      <w:lvlJc w:val="left"/>
      <w:pPr>
        <w:ind w:left="4898" w:hanging="360"/>
      </w:pPr>
      <w:rPr>
        <w:rFonts w:ascii="Symbol" w:hAnsi="Symbol" w:hint="default"/>
      </w:rPr>
    </w:lvl>
    <w:lvl w:ilvl="7" w:tplc="18090003" w:tentative="1">
      <w:start w:val="1"/>
      <w:numFmt w:val="bullet"/>
      <w:lvlText w:val="o"/>
      <w:lvlJc w:val="left"/>
      <w:pPr>
        <w:ind w:left="5618" w:hanging="360"/>
      </w:pPr>
      <w:rPr>
        <w:rFonts w:ascii="Courier New" w:hAnsi="Courier New" w:cs="Courier New" w:hint="default"/>
      </w:rPr>
    </w:lvl>
    <w:lvl w:ilvl="8" w:tplc="18090005" w:tentative="1">
      <w:start w:val="1"/>
      <w:numFmt w:val="bullet"/>
      <w:lvlText w:val=""/>
      <w:lvlJc w:val="left"/>
      <w:pPr>
        <w:ind w:left="6338" w:hanging="360"/>
      </w:pPr>
      <w:rPr>
        <w:rFonts w:ascii="Wingdings" w:hAnsi="Wingdings" w:hint="default"/>
      </w:rPr>
    </w:lvl>
  </w:abstractNum>
  <w:abstractNum w:abstractNumId="7" w15:restartNumberingAfterBreak="0">
    <w:nsid w:val="161E411E"/>
    <w:multiLevelType w:val="hybridMultilevel"/>
    <w:tmpl w:val="96B051D6"/>
    <w:lvl w:ilvl="0" w:tplc="F5346772">
      <w:start w:val="2"/>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7357B09"/>
    <w:multiLevelType w:val="hybridMultilevel"/>
    <w:tmpl w:val="F5BA98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7443308"/>
    <w:multiLevelType w:val="hybridMultilevel"/>
    <w:tmpl w:val="1272D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7FD0810"/>
    <w:multiLevelType w:val="hybridMultilevel"/>
    <w:tmpl w:val="116CB7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8FD48C3"/>
    <w:multiLevelType w:val="hybridMultilevel"/>
    <w:tmpl w:val="499095B4"/>
    <w:lvl w:ilvl="0" w:tplc="1809001B">
      <w:start w:val="1"/>
      <w:numFmt w:val="lowerRoman"/>
      <w:lvlText w:val="%1."/>
      <w:lvlJc w:val="right"/>
      <w:pPr>
        <w:ind w:left="1429" w:hanging="360"/>
      </w:p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12" w15:restartNumberingAfterBreak="0">
    <w:nsid w:val="1ABB3966"/>
    <w:multiLevelType w:val="hybridMultilevel"/>
    <w:tmpl w:val="757C754E"/>
    <w:lvl w:ilvl="0" w:tplc="50E024F6">
      <w:start w:val="7"/>
      <w:numFmt w:val="decimal"/>
      <w:lvlText w:val="%1."/>
      <w:lvlJc w:val="left"/>
      <w:pPr>
        <w:ind w:left="785" w:hanging="360"/>
      </w:pPr>
      <w:rPr>
        <w:rFonts w:hint="default"/>
      </w:rPr>
    </w:lvl>
    <w:lvl w:ilvl="1" w:tplc="18090019" w:tentative="1">
      <w:start w:val="1"/>
      <w:numFmt w:val="lowerLetter"/>
      <w:lvlText w:val="%2."/>
      <w:lvlJc w:val="left"/>
      <w:pPr>
        <w:ind w:left="1145" w:hanging="360"/>
      </w:pPr>
    </w:lvl>
    <w:lvl w:ilvl="2" w:tplc="1809001B" w:tentative="1">
      <w:start w:val="1"/>
      <w:numFmt w:val="lowerRoman"/>
      <w:lvlText w:val="%3."/>
      <w:lvlJc w:val="right"/>
      <w:pPr>
        <w:ind w:left="1865" w:hanging="180"/>
      </w:pPr>
    </w:lvl>
    <w:lvl w:ilvl="3" w:tplc="1809000F" w:tentative="1">
      <w:start w:val="1"/>
      <w:numFmt w:val="decimal"/>
      <w:lvlText w:val="%4."/>
      <w:lvlJc w:val="left"/>
      <w:pPr>
        <w:ind w:left="2585" w:hanging="360"/>
      </w:pPr>
    </w:lvl>
    <w:lvl w:ilvl="4" w:tplc="18090019" w:tentative="1">
      <w:start w:val="1"/>
      <w:numFmt w:val="lowerLetter"/>
      <w:lvlText w:val="%5."/>
      <w:lvlJc w:val="left"/>
      <w:pPr>
        <w:ind w:left="3305" w:hanging="360"/>
      </w:pPr>
    </w:lvl>
    <w:lvl w:ilvl="5" w:tplc="1809001B" w:tentative="1">
      <w:start w:val="1"/>
      <w:numFmt w:val="lowerRoman"/>
      <w:lvlText w:val="%6."/>
      <w:lvlJc w:val="right"/>
      <w:pPr>
        <w:ind w:left="4025" w:hanging="180"/>
      </w:pPr>
    </w:lvl>
    <w:lvl w:ilvl="6" w:tplc="1809000F" w:tentative="1">
      <w:start w:val="1"/>
      <w:numFmt w:val="decimal"/>
      <w:lvlText w:val="%7."/>
      <w:lvlJc w:val="left"/>
      <w:pPr>
        <w:ind w:left="4745" w:hanging="360"/>
      </w:pPr>
    </w:lvl>
    <w:lvl w:ilvl="7" w:tplc="18090019" w:tentative="1">
      <w:start w:val="1"/>
      <w:numFmt w:val="lowerLetter"/>
      <w:lvlText w:val="%8."/>
      <w:lvlJc w:val="left"/>
      <w:pPr>
        <w:ind w:left="5465" w:hanging="360"/>
      </w:pPr>
    </w:lvl>
    <w:lvl w:ilvl="8" w:tplc="1809001B" w:tentative="1">
      <w:start w:val="1"/>
      <w:numFmt w:val="lowerRoman"/>
      <w:lvlText w:val="%9."/>
      <w:lvlJc w:val="right"/>
      <w:pPr>
        <w:ind w:left="6185" w:hanging="180"/>
      </w:pPr>
    </w:lvl>
  </w:abstractNum>
  <w:abstractNum w:abstractNumId="13" w15:restartNumberingAfterBreak="0">
    <w:nsid w:val="1BA24921"/>
    <w:multiLevelType w:val="hybridMultilevel"/>
    <w:tmpl w:val="7114924C"/>
    <w:lvl w:ilvl="0" w:tplc="E55A5EC6">
      <w:start w:val="6"/>
      <w:numFmt w:val="decimal"/>
      <w:lvlText w:val="%1."/>
      <w:lvlJc w:val="left"/>
      <w:pPr>
        <w:ind w:left="785" w:hanging="360"/>
      </w:pPr>
      <w:rPr>
        <w:rFonts w:hint="default"/>
        <w:b/>
      </w:rPr>
    </w:lvl>
    <w:lvl w:ilvl="1" w:tplc="18090019" w:tentative="1">
      <w:start w:val="1"/>
      <w:numFmt w:val="lowerLetter"/>
      <w:lvlText w:val="%2."/>
      <w:lvlJc w:val="left"/>
      <w:pPr>
        <w:ind w:left="1145" w:hanging="360"/>
      </w:pPr>
    </w:lvl>
    <w:lvl w:ilvl="2" w:tplc="1809001B" w:tentative="1">
      <w:start w:val="1"/>
      <w:numFmt w:val="lowerRoman"/>
      <w:lvlText w:val="%3."/>
      <w:lvlJc w:val="right"/>
      <w:pPr>
        <w:ind w:left="1865" w:hanging="180"/>
      </w:pPr>
    </w:lvl>
    <w:lvl w:ilvl="3" w:tplc="1809000F" w:tentative="1">
      <w:start w:val="1"/>
      <w:numFmt w:val="decimal"/>
      <w:lvlText w:val="%4."/>
      <w:lvlJc w:val="left"/>
      <w:pPr>
        <w:ind w:left="2585" w:hanging="360"/>
      </w:pPr>
    </w:lvl>
    <w:lvl w:ilvl="4" w:tplc="18090019" w:tentative="1">
      <w:start w:val="1"/>
      <w:numFmt w:val="lowerLetter"/>
      <w:lvlText w:val="%5."/>
      <w:lvlJc w:val="left"/>
      <w:pPr>
        <w:ind w:left="3305" w:hanging="360"/>
      </w:pPr>
    </w:lvl>
    <w:lvl w:ilvl="5" w:tplc="1809001B" w:tentative="1">
      <w:start w:val="1"/>
      <w:numFmt w:val="lowerRoman"/>
      <w:lvlText w:val="%6."/>
      <w:lvlJc w:val="right"/>
      <w:pPr>
        <w:ind w:left="4025" w:hanging="180"/>
      </w:pPr>
    </w:lvl>
    <w:lvl w:ilvl="6" w:tplc="1809000F" w:tentative="1">
      <w:start w:val="1"/>
      <w:numFmt w:val="decimal"/>
      <w:lvlText w:val="%7."/>
      <w:lvlJc w:val="left"/>
      <w:pPr>
        <w:ind w:left="4745" w:hanging="360"/>
      </w:pPr>
    </w:lvl>
    <w:lvl w:ilvl="7" w:tplc="18090019" w:tentative="1">
      <w:start w:val="1"/>
      <w:numFmt w:val="lowerLetter"/>
      <w:lvlText w:val="%8."/>
      <w:lvlJc w:val="left"/>
      <w:pPr>
        <w:ind w:left="5465" w:hanging="360"/>
      </w:pPr>
    </w:lvl>
    <w:lvl w:ilvl="8" w:tplc="1809001B" w:tentative="1">
      <w:start w:val="1"/>
      <w:numFmt w:val="lowerRoman"/>
      <w:lvlText w:val="%9."/>
      <w:lvlJc w:val="right"/>
      <w:pPr>
        <w:ind w:left="6185" w:hanging="180"/>
      </w:pPr>
    </w:lvl>
  </w:abstractNum>
  <w:abstractNum w:abstractNumId="14" w15:restartNumberingAfterBreak="0">
    <w:nsid w:val="1C3A1704"/>
    <w:multiLevelType w:val="hybridMultilevel"/>
    <w:tmpl w:val="4E4E94CC"/>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5" w15:restartNumberingAfterBreak="0">
    <w:nsid w:val="1E2D6029"/>
    <w:multiLevelType w:val="multilevel"/>
    <w:tmpl w:val="2E8C1BE6"/>
    <w:lvl w:ilvl="0">
      <w:start w:val="1"/>
      <w:numFmt w:val="decimal"/>
      <w:lvlText w:val="%1"/>
      <w:lvlJc w:val="left"/>
      <w:pPr>
        <w:ind w:left="720" w:hanging="720"/>
      </w:pPr>
      <w:rPr>
        <w:rFonts w:hint="default"/>
      </w:rPr>
    </w:lvl>
    <w:lvl w:ilvl="1">
      <w:start w:val="1"/>
      <w:numFmt w:val="lowerRoman"/>
      <w:lvlText w:val="%2."/>
      <w:lvlJc w:val="righ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1F540DCD"/>
    <w:multiLevelType w:val="hybridMultilevel"/>
    <w:tmpl w:val="25F6D2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6C46494"/>
    <w:multiLevelType w:val="hybridMultilevel"/>
    <w:tmpl w:val="AAA4D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6DE40DB"/>
    <w:multiLevelType w:val="hybridMultilevel"/>
    <w:tmpl w:val="97924494"/>
    <w:lvl w:ilvl="0" w:tplc="2D709528">
      <w:start w:val="1"/>
      <w:numFmt w:val="decimal"/>
      <w:lvlText w:val="%1."/>
      <w:lvlJc w:val="left"/>
      <w:pPr>
        <w:ind w:left="720" w:hanging="360"/>
      </w:pPr>
      <w:rPr>
        <w:rFonts w:asciiTheme="minorHAnsi" w:eastAsiaTheme="minorEastAsia" w:hAnsiTheme="minorHAnsi" w:cstheme="minorBidi" w:hint="default"/>
        <w:color w:val="auto"/>
        <w:sz w:val="21"/>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98A3D87"/>
    <w:multiLevelType w:val="hybridMultilevel"/>
    <w:tmpl w:val="3EF6B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A791335"/>
    <w:multiLevelType w:val="multilevel"/>
    <w:tmpl w:val="9BC0811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2B0652FD"/>
    <w:multiLevelType w:val="hybridMultilevel"/>
    <w:tmpl w:val="125A6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B133980"/>
    <w:multiLevelType w:val="hybridMultilevel"/>
    <w:tmpl w:val="DA162056"/>
    <w:lvl w:ilvl="0" w:tplc="D80E0E4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029500C"/>
    <w:multiLevelType w:val="hybridMultilevel"/>
    <w:tmpl w:val="C2049F34"/>
    <w:lvl w:ilvl="0" w:tplc="1809000F">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24" w15:restartNumberingAfterBreak="0">
    <w:nsid w:val="339C3590"/>
    <w:multiLevelType w:val="multilevel"/>
    <w:tmpl w:val="3F7E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CF5042"/>
    <w:multiLevelType w:val="hybridMultilevel"/>
    <w:tmpl w:val="7E4A60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7B37CCE"/>
    <w:multiLevelType w:val="hybridMultilevel"/>
    <w:tmpl w:val="97B2F29C"/>
    <w:lvl w:ilvl="0" w:tplc="F5346772">
      <w:start w:val="2"/>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B1A09DE"/>
    <w:multiLevelType w:val="hybridMultilevel"/>
    <w:tmpl w:val="78BADB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BB96E54"/>
    <w:multiLevelType w:val="hybridMultilevel"/>
    <w:tmpl w:val="D88ADE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EF571B9"/>
    <w:multiLevelType w:val="hybridMultilevel"/>
    <w:tmpl w:val="275C6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5994969"/>
    <w:multiLevelType w:val="hybridMultilevel"/>
    <w:tmpl w:val="3432F3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7F25439"/>
    <w:multiLevelType w:val="hybridMultilevel"/>
    <w:tmpl w:val="981E30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81D5090"/>
    <w:multiLevelType w:val="singleLevel"/>
    <w:tmpl w:val="D206E60C"/>
    <w:lvl w:ilvl="0">
      <w:numFmt w:val="bullet"/>
      <w:pStyle w:val="Bullet01"/>
      <w:lvlText w:val="•"/>
      <w:lvlJc w:val="left"/>
      <w:pPr>
        <w:tabs>
          <w:tab w:val="num" w:pos="480"/>
        </w:tabs>
        <w:ind w:left="480" w:hanging="480"/>
      </w:pPr>
    </w:lvl>
  </w:abstractNum>
  <w:abstractNum w:abstractNumId="33" w15:restartNumberingAfterBreak="0">
    <w:nsid w:val="48663EA0"/>
    <w:multiLevelType w:val="hybridMultilevel"/>
    <w:tmpl w:val="0628768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89A758C"/>
    <w:multiLevelType w:val="hybridMultilevel"/>
    <w:tmpl w:val="1238507A"/>
    <w:lvl w:ilvl="0" w:tplc="F5346772">
      <w:start w:val="2"/>
      <w:numFmt w:val="bullet"/>
      <w:lvlText w:val="-"/>
      <w:lvlJc w:val="left"/>
      <w:pPr>
        <w:ind w:left="720" w:hanging="360"/>
      </w:pPr>
      <w:rPr>
        <w:rFonts w:ascii="Calibri" w:eastAsia="Times New Roman" w:hAnsi="Calibri" w:cs="Calibri" w:hint="default"/>
      </w:rPr>
    </w:lvl>
    <w:lvl w:ilvl="1" w:tplc="F5346772">
      <w:start w:val="2"/>
      <w:numFmt w:val="bullet"/>
      <w:lvlText w:val="-"/>
      <w:lvlJc w:val="left"/>
      <w:pPr>
        <w:ind w:left="1440" w:hanging="360"/>
      </w:pPr>
      <w:rPr>
        <w:rFonts w:ascii="Calibri" w:eastAsia="Times New Roman"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9FC149A"/>
    <w:multiLevelType w:val="hybridMultilevel"/>
    <w:tmpl w:val="B2D2995C"/>
    <w:lvl w:ilvl="0" w:tplc="509023A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15:restartNumberingAfterBreak="0">
    <w:nsid w:val="51A3122D"/>
    <w:multiLevelType w:val="hybridMultilevel"/>
    <w:tmpl w:val="017091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78F4806"/>
    <w:multiLevelType w:val="hybridMultilevel"/>
    <w:tmpl w:val="A5D8BDD2"/>
    <w:lvl w:ilvl="0" w:tplc="F5346772">
      <w:start w:val="2"/>
      <w:numFmt w:val="bullet"/>
      <w:lvlText w:val="-"/>
      <w:lvlJc w:val="left"/>
      <w:pPr>
        <w:ind w:left="720" w:hanging="360"/>
      </w:pPr>
      <w:rPr>
        <w:rFonts w:ascii="Calibri" w:eastAsia="Times New Roman" w:hAnsi="Calibri" w:cs="Calibri" w:hint="default"/>
      </w:rPr>
    </w:lvl>
    <w:lvl w:ilvl="1" w:tplc="F5346772">
      <w:start w:val="2"/>
      <w:numFmt w:val="bullet"/>
      <w:lvlText w:val="-"/>
      <w:lvlJc w:val="left"/>
      <w:pPr>
        <w:ind w:left="1440" w:hanging="360"/>
      </w:pPr>
      <w:rPr>
        <w:rFonts w:ascii="Calibri" w:eastAsia="Times New Roman"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7D70BF5"/>
    <w:multiLevelType w:val="hybridMultilevel"/>
    <w:tmpl w:val="05D03B16"/>
    <w:lvl w:ilvl="0" w:tplc="12C0CA28">
      <w:start w:val="14"/>
      <w:numFmt w:val="bullet"/>
      <w:lvlText w:val="-"/>
      <w:lvlJc w:val="left"/>
      <w:pPr>
        <w:ind w:left="1080" w:hanging="360"/>
      </w:pPr>
      <w:rPr>
        <w:rFonts w:ascii="Segoe UI" w:eastAsiaTheme="minorHAnsi" w:hAnsi="Segoe UI" w:cs="Segoe UI"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 w15:restartNumberingAfterBreak="0">
    <w:nsid w:val="5C723EAB"/>
    <w:multiLevelType w:val="hybridMultilevel"/>
    <w:tmpl w:val="E48084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9A1967"/>
    <w:multiLevelType w:val="hybridMultilevel"/>
    <w:tmpl w:val="F6B4DF76"/>
    <w:lvl w:ilvl="0" w:tplc="1809001B">
      <w:start w:val="1"/>
      <w:numFmt w:val="lowerRoman"/>
      <w:lvlText w:val="%1."/>
      <w:lvlJc w:val="righ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2" w15:restartNumberingAfterBreak="0">
    <w:nsid w:val="5E4D0646"/>
    <w:multiLevelType w:val="hybridMultilevel"/>
    <w:tmpl w:val="ABEE7DB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3" w15:restartNumberingAfterBreak="0">
    <w:nsid w:val="5F06408C"/>
    <w:multiLevelType w:val="hybridMultilevel"/>
    <w:tmpl w:val="19B2024E"/>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4" w15:restartNumberingAfterBreak="0">
    <w:nsid w:val="5F6860E7"/>
    <w:multiLevelType w:val="hybridMultilevel"/>
    <w:tmpl w:val="847AD47C"/>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01">
      <w:start w:val="1"/>
      <w:numFmt w:val="bullet"/>
      <w:lvlText w:val=""/>
      <w:lvlJc w:val="left"/>
      <w:pPr>
        <w:ind w:left="2160" w:hanging="180"/>
      </w:pPr>
      <w:rPr>
        <w:rFonts w:ascii="Symbol" w:hAnsi="Symbo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5FB5771B"/>
    <w:multiLevelType w:val="hybridMultilevel"/>
    <w:tmpl w:val="177C413E"/>
    <w:lvl w:ilvl="0" w:tplc="1809001B">
      <w:start w:val="1"/>
      <w:numFmt w:val="lowerRoman"/>
      <w:lvlText w:val="%1."/>
      <w:lvlJc w:val="righ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667028A2"/>
    <w:multiLevelType w:val="multilevel"/>
    <w:tmpl w:val="2500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954021D"/>
    <w:multiLevelType w:val="hybridMultilevel"/>
    <w:tmpl w:val="91BC67A2"/>
    <w:lvl w:ilvl="0" w:tplc="3CCCD296">
      <w:start w:val="8"/>
      <w:numFmt w:val="decimal"/>
      <w:lvlText w:val="%1."/>
      <w:lvlJc w:val="left"/>
      <w:pPr>
        <w:ind w:left="785" w:hanging="360"/>
      </w:pPr>
      <w:rPr>
        <w:rFonts w:hint="default"/>
        <w:b/>
      </w:rPr>
    </w:lvl>
    <w:lvl w:ilvl="1" w:tplc="18090019" w:tentative="1">
      <w:start w:val="1"/>
      <w:numFmt w:val="lowerLetter"/>
      <w:lvlText w:val="%2."/>
      <w:lvlJc w:val="left"/>
      <w:pPr>
        <w:ind w:left="1145" w:hanging="360"/>
      </w:pPr>
    </w:lvl>
    <w:lvl w:ilvl="2" w:tplc="1809001B" w:tentative="1">
      <w:start w:val="1"/>
      <w:numFmt w:val="lowerRoman"/>
      <w:lvlText w:val="%3."/>
      <w:lvlJc w:val="right"/>
      <w:pPr>
        <w:ind w:left="1865" w:hanging="180"/>
      </w:pPr>
    </w:lvl>
    <w:lvl w:ilvl="3" w:tplc="1809000F" w:tentative="1">
      <w:start w:val="1"/>
      <w:numFmt w:val="decimal"/>
      <w:lvlText w:val="%4."/>
      <w:lvlJc w:val="left"/>
      <w:pPr>
        <w:ind w:left="2585" w:hanging="360"/>
      </w:pPr>
    </w:lvl>
    <w:lvl w:ilvl="4" w:tplc="18090019" w:tentative="1">
      <w:start w:val="1"/>
      <w:numFmt w:val="lowerLetter"/>
      <w:lvlText w:val="%5."/>
      <w:lvlJc w:val="left"/>
      <w:pPr>
        <w:ind w:left="3305" w:hanging="360"/>
      </w:pPr>
    </w:lvl>
    <w:lvl w:ilvl="5" w:tplc="1809001B" w:tentative="1">
      <w:start w:val="1"/>
      <w:numFmt w:val="lowerRoman"/>
      <w:lvlText w:val="%6."/>
      <w:lvlJc w:val="right"/>
      <w:pPr>
        <w:ind w:left="4025" w:hanging="180"/>
      </w:pPr>
    </w:lvl>
    <w:lvl w:ilvl="6" w:tplc="1809000F" w:tentative="1">
      <w:start w:val="1"/>
      <w:numFmt w:val="decimal"/>
      <w:lvlText w:val="%7."/>
      <w:lvlJc w:val="left"/>
      <w:pPr>
        <w:ind w:left="4745" w:hanging="360"/>
      </w:pPr>
    </w:lvl>
    <w:lvl w:ilvl="7" w:tplc="18090019" w:tentative="1">
      <w:start w:val="1"/>
      <w:numFmt w:val="lowerLetter"/>
      <w:lvlText w:val="%8."/>
      <w:lvlJc w:val="left"/>
      <w:pPr>
        <w:ind w:left="5465" w:hanging="360"/>
      </w:pPr>
    </w:lvl>
    <w:lvl w:ilvl="8" w:tplc="1809001B" w:tentative="1">
      <w:start w:val="1"/>
      <w:numFmt w:val="lowerRoman"/>
      <w:lvlText w:val="%9."/>
      <w:lvlJc w:val="right"/>
      <w:pPr>
        <w:ind w:left="6185" w:hanging="180"/>
      </w:pPr>
    </w:lvl>
  </w:abstractNum>
  <w:abstractNum w:abstractNumId="48" w15:restartNumberingAfterBreak="0">
    <w:nsid w:val="6A080E7E"/>
    <w:multiLevelType w:val="hybridMultilevel"/>
    <w:tmpl w:val="473C1D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C2B095E"/>
    <w:multiLevelType w:val="hybridMultilevel"/>
    <w:tmpl w:val="FB3006F6"/>
    <w:lvl w:ilvl="0" w:tplc="F5346772">
      <w:start w:val="2"/>
      <w:numFmt w:val="bullet"/>
      <w:lvlText w:val="-"/>
      <w:lvlJc w:val="left"/>
      <w:pPr>
        <w:ind w:left="1080" w:hanging="360"/>
      </w:pPr>
      <w:rPr>
        <w:rFonts w:ascii="Calibri" w:eastAsia="Times New Roman" w:hAnsi="Calibri" w:cs="Calibri" w:hint="default"/>
      </w:rPr>
    </w:lvl>
    <w:lvl w:ilvl="1" w:tplc="5C721252">
      <w:start w:val="5"/>
      <w:numFmt w:val="bullet"/>
      <w:lvlText w:val="—"/>
      <w:lvlJc w:val="left"/>
      <w:pPr>
        <w:ind w:left="1800" w:hanging="360"/>
      </w:pPr>
      <w:rPr>
        <w:rFonts w:ascii="Calibri" w:eastAsiaTheme="minorHAnsi" w:hAnsi="Calibri" w:cs="Calibri"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0" w15:restartNumberingAfterBreak="0">
    <w:nsid w:val="6C485B1E"/>
    <w:multiLevelType w:val="hybridMultilevel"/>
    <w:tmpl w:val="E7C053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08911E4"/>
    <w:multiLevelType w:val="hybridMultilevel"/>
    <w:tmpl w:val="146E1DC4"/>
    <w:lvl w:ilvl="0" w:tplc="D3FE525C">
      <w:start w:val="14"/>
      <w:numFmt w:val="bullet"/>
      <w:lvlText w:val="-"/>
      <w:lvlJc w:val="left"/>
      <w:pPr>
        <w:ind w:left="720" w:hanging="360"/>
      </w:pPr>
      <w:rPr>
        <w:rFonts w:ascii="Segoe UI" w:eastAsiaTheme="minorHAnsi" w:hAnsi="Segoe UI" w:cs="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2334DE0"/>
    <w:multiLevelType w:val="hybridMultilevel"/>
    <w:tmpl w:val="A7B080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4C6252E"/>
    <w:multiLevelType w:val="hybridMultilevel"/>
    <w:tmpl w:val="399ED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6FD1D33"/>
    <w:multiLevelType w:val="hybridMultilevel"/>
    <w:tmpl w:val="6C4064E8"/>
    <w:lvl w:ilvl="0" w:tplc="1809001B">
      <w:start w:val="1"/>
      <w:numFmt w:val="lowerRoman"/>
      <w:lvlText w:val="%1."/>
      <w:lvlJc w:val="right"/>
      <w:pPr>
        <w:ind w:left="1440" w:hanging="360"/>
      </w:pPr>
    </w:lvl>
    <w:lvl w:ilvl="1" w:tplc="18090019">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5" w15:restartNumberingAfterBreak="0">
    <w:nsid w:val="7B234490"/>
    <w:multiLevelType w:val="hybridMultilevel"/>
    <w:tmpl w:val="F4842254"/>
    <w:lvl w:ilvl="0" w:tplc="D3FE525C">
      <w:start w:val="14"/>
      <w:numFmt w:val="bullet"/>
      <w:lvlText w:val="-"/>
      <w:lvlJc w:val="left"/>
      <w:pPr>
        <w:ind w:left="720" w:hanging="360"/>
      </w:pPr>
      <w:rPr>
        <w:rFonts w:ascii="Segoe UI" w:eastAsiaTheme="minorHAnsi" w:hAnsi="Segoe UI" w:cs="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EC76A8D"/>
    <w:multiLevelType w:val="hybridMultilevel"/>
    <w:tmpl w:val="FA74C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32"/>
  </w:num>
  <w:num w:numId="3">
    <w:abstractNumId w:val="30"/>
  </w:num>
  <w:num w:numId="4">
    <w:abstractNumId w:val="23"/>
  </w:num>
  <w:num w:numId="5">
    <w:abstractNumId w:val="50"/>
  </w:num>
  <w:num w:numId="6">
    <w:abstractNumId w:val="0"/>
  </w:num>
  <w:num w:numId="7">
    <w:abstractNumId w:val="1"/>
  </w:num>
  <w:num w:numId="8">
    <w:abstractNumId w:val="15"/>
  </w:num>
  <w:num w:numId="9">
    <w:abstractNumId w:val="20"/>
  </w:num>
  <w:num w:numId="10">
    <w:abstractNumId w:val="54"/>
  </w:num>
  <w:num w:numId="11">
    <w:abstractNumId w:val="44"/>
  </w:num>
  <w:num w:numId="12">
    <w:abstractNumId w:val="43"/>
  </w:num>
  <w:num w:numId="13">
    <w:abstractNumId w:val="41"/>
  </w:num>
  <w:num w:numId="14">
    <w:abstractNumId w:val="42"/>
  </w:num>
  <w:num w:numId="15">
    <w:abstractNumId w:val="11"/>
  </w:num>
  <w:num w:numId="16">
    <w:abstractNumId w:val="45"/>
  </w:num>
  <w:num w:numId="17">
    <w:abstractNumId w:val="19"/>
  </w:num>
  <w:num w:numId="18">
    <w:abstractNumId w:val="33"/>
  </w:num>
  <w:num w:numId="19">
    <w:abstractNumId w:val="6"/>
  </w:num>
  <w:num w:numId="20">
    <w:abstractNumId w:val="51"/>
  </w:num>
  <w:num w:numId="21">
    <w:abstractNumId w:val="55"/>
  </w:num>
  <w:num w:numId="22">
    <w:abstractNumId w:val="14"/>
  </w:num>
  <w:num w:numId="23">
    <w:abstractNumId w:val="40"/>
  </w:num>
  <w:num w:numId="24">
    <w:abstractNumId w:val="25"/>
  </w:num>
  <w:num w:numId="25">
    <w:abstractNumId w:val="56"/>
  </w:num>
  <w:num w:numId="26">
    <w:abstractNumId w:val="2"/>
  </w:num>
  <w:num w:numId="27">
    <w:abstractNumId w:val="9"/>
  </w:num>
  <w:num w:numId="28">
    <w:abstractNumId w:val="49"/>
  </w:num>
  <w:num w:numId="29">
    <w:abstractNumId w:val="35"/>
  </w:num>
  <w:num w:numId="30">
    <w:abstractNumId w:val="28"/>
  </w:num>
  <w:num w:numId="31">
    <w:abstractNumId w:val="8"/>
  </w:num>
  <w:num w:numId="32">
    <w:abstractNumId w:val="16"/>
  </w:num>
  <w:num w:numId="33">
    <w:abstractNumId w:val="52"/>
  </w:num>
  <w:num w:numId="34">
    <w:abstractNumId w:val="48"/>
  </w:num>
  <w:num w:numId="35">
    <w:abstractNumId w:val="21"/>
  </w:num>
  <w:num w:numId="36">
    <w:abstractNumId w:val="4"/>
  </w:num>
  <w:num w:numId="37">
    <w:abstractNumId w:val="46"/>
  </w:num>
  <w:num w:numId="38">
    <w:abstractNumId w:val="27"/>
  </w:num>
  <w:num w:numId="39">
    <w:abstractNumId w:val="39"/>
  </w:num>
  <w:num w:numId="40">
    <w:abstractNumId w:val="26"/>
  </w:num>
  <w:num w:numId="41">
    <w:abstractNumId w:val="7"/>
  </w:num>
  <w:num w:numId="42">
    <w:abstractNumId w:val="34"/>
  </w:num>
  <w:num w:numId="43">
    <w:abstractNumId w:val="38"/>
  </w:num>
  <w:num w:numId="44">
    <w:abstractNumId w:val="31"/>
  </w:num>
  <w:num w:numId="45">
    <w:abstractNumId w:val="17"/>
  </w:num>
  <w:num w:numId="46">
    <w:abstractNumId w:val="37"/>
  </w:num>
  <w:num w:numId="47">
    <w:abstractNumId w:val="13"/>
  </w:num>
  <w:num w:numId="48">
    <w:abstractNumId w:val="12"/>
  </w:num>
  <w:num w:numId="49">
    <w:abstractNumId w:val="47"/>
  </w:num>
  <w:num w:numId="50">
    <w:abstractNumId w:val="53"/>
  </w:num>
  <w:num w:numId="51">
    <w:abstractNumId w:val="29"/>
  </w:num>
  <w:num w:numId="52">
    <w:abstractNumId w:val="24"/>
  </w:num>
  <w:num w:numId="53">
    <w:abstractNumId w:val="18"/>
  </w:num>
  <w:num w:numId="54">
    <w:abstractNumId w:val="10"/>
  </w:num>
  <w:num w:numId="55">
    <w:abstractNumId w:val="5"/>
  </w:num>
  <w:num w:numId="56">
    <w:abstractNumId w:val="3"/>
  </w:num>
  <w:num w:numId="57">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BA1"/>
    <w:rsid w:val="0000058B"/>
    <w:rsid w:val="000019DB"/>
    <w:rsid w:val="0000529F"/>
    <w:rsid w:val="00014587"/>
    <w:rsid w:val="0001609F"/>
    <w:rsid w:val="000169F2"/>
    <w:rsid w:val="000245E3"/>
    <w:rsid w:val="00033061"/>
    <w:rsid w:val="00040782"/>
    <w:rsid w:val="0004170D"/>
    <w:rsid w:val="000420FB"/>
    <w:rsid w:val="00043CD0"/>
    <w:rsid w:val="00047568"/>
    <w:rsid w:val="00050442"/>
    <w:rsid w:val="00050FD6"/>
    <w:rsid w:val="0005342B"/>
    <w:rsid w:val="000538A1"/>
    <w:rsid w:val="00054214"/>
    <w:rsid w:val="00055D51"/>
    <w:rsid w:val="00056365"/>
    <w:rsid w:val="00056B7E"/>
    <w:rsid w:val="000600DA"/>
    <w:rsid w:val="00061C32"/>
    <w:rsid w:val="00061E18"/>
    <w:rsid w:val="00064FB3"/>
    <w:rsid w:val="0007080A"/>
    <w:rsid w:val="00073658"/>
    <w:rsid w:val="00075E9F"/>
    <w:rsid w:val="00081256"/>
    <w:rsid w:val="00081F25"/>
    <w:rsid w:val="00083A23"/>
    <w:rsid w:val="00083F80"/>
    <w:rsid w:val="0008449F"/>
    <w:rsid w:val="00086538"/>
    <w:rsid w:val="00091CDE"/>
    <w:rsid w:val="00091F94"/>
    <w:rsid w:val="000938DF"/>
    <w:rsid w:val="00094E7B"/>
    <w:rsid w:val="00097517"/>
    <w:rsid w:val="000A05B5"/>
    <w:rsid w:val="000A0B70"/>
    <w:rsid w:val="000A21BE"/>
    <w:rsid w:val="000A2411"/>
    <w:rsid w:val="000A2B65"/>
    <w:rsid w:val="000A4EEF"/>
    <w:rsid w:val="000A7C5F"/>
    <w:rsid w:val="000B03EB"/>
    <w:rsid w:val="000B1527"/>
    <w:rsid w:val="000B4FC3"/>
    <w:rsid w:val="000B6DC1"/>
    <w:rsid w:val="000C0579"/>
    <w:rsid w:val="000C2F45"/>
    <w:rsid w:val="000C505B"/>
    <w:rsid w:val="000D2078"/>
    <w:rsid w:val="000D3084"/>
    <w:rsid w:val="000D5E92"/>
    <w:rsid w:val="000E3730"/>
    <w:rsid w:val="000F6716"/>
    <w:rsid w:val="00101564"/>
    <w:rsid w:val="0010248F"/>
    <w:rsid w:val="00102B8B"/>
    <w:rsid w:val="0010485C"/>
    <w:rsid w:val="0011690F"/>
    <w:rsid w:val="00116B97"/>
    <w:rsid w:val="00127E1A"/>
    <w:rsid w:val="001311D2"/>
    <w:rsid w:val="00147488"/>
    <w:rsid w:val="001524C9"/>
    <w:rsid w:val="001532A5"/>
    <w:rsid w:val="00154D53"/>
    <w:rsid w:val="0016296D"/>
    <w:rsid w:val="00164BC5"/>
    <w:rsid w:val="00166417"/>
    <w:rsid w:val="001713EA"/>
    <w:rsid w:val="001716CE"/>
    <w:rsid w:val="0017326B"/>
    <w:rsid w:val="001804F7"/>
    <w:rsid w:val="00185054"/>
    <w:rsid w:val="00185A96"/>
    <w:rsid w:val="00186F8E"/>
    <w:rsid w:val="00187A26"/>
    <w:rsid w:val="001912B2"/>
    <w:rsid w:val="001961DA"/>
    <w:rsid w:val="001A19F9"/>
    <w:rsid w:val="001A1CBA"/>
    <w:rsid w:val="001A1DDD"/>
    <w:rsid w:val="001A2940"/>
    <w:rsid w:val="001A57F7"/>
    <w:rsid w:val="001A630C"/>
    <w:rsid w:val="001A6EDA"/>
    <w:rsid w:val="001B1BA1"/>
    <w:rsid w:val="001B2B5B"/>
    <w:rsid w:val="001C5DF8"/>
    <w:rsid w:val="001C72B5"/>
    <w:rsid w:val="001D216E"/>
    <w:rsid w:val="001D2873"/>
    <w:rsid w:val="001D4519"/>
    <w:rsid w:val="001D49DF"/>
    <w:rsid w:val="001D5D9A"/>
    <w:rsid w:val="001D6B2E"/>
    <w:rsid w:val="001E0D48"/>
    <w:rsid w:val="001E503A"/>
    <w:rsid w:val="001F202E"/>
    <w:rsid w:val="001F3F51"/>
    <w:rsid w:val="001F45BC"/>
    <w:rsid w:val="0020239B"/>
    <w:rsid w:val="00202C47"/>
    <w:rsid w:val="002133C8"/>
    <w:rsid w:val="002154D5"/>
    <w:rsid w:val="00220FD8"/>
    <w:rsid w:val="002346F1"/>
    <w:rsid w:val="0024144A"/>
    <w:rsid w:val="002426F2"/>
    <w:rsid w:val="00243245"/>
    <w:rsid w:val="00244D9B"/>
    <w:rsid w:val="002549E9"/>
    <w:rsid w:val="00266130"/>
    <w:rsid w:val="00267A88"/>
    <w:rsid w:val="0028120F"/>
    <w:rsid w:val="002832FB"/>
    <w:rsid w:val="00284EAB"/>
    <w:rsid w:val="00290347"/>
    <w:rsid w:val="00292CF6"/>
    <w:rsid w:val="002A0044"/>
    <w:rsid w:val="002A2CD9"/>
    <w:rsid w:val="002A2E92"/>
    <w:rsid w:val="002A4213"/>
    <w:rsid w:val="002A42DB"/>
    <w:rsid w:val="002A53B6"/>
    <w:rsid w:val="002A587F"/>
    <w:rsid w:val="002A65DE"/>
    <w:rsid w:val="002C4864"/>
    <w:rsid w:val="002D2A35"/>
    <w:rsid w:val="002E2ECD"/>
    <w:rsid w:val="002E4161"/>
    <w:rsid w:val="002E556C"/>
    <w:rsid w:val="002E60A4"/>
    <w:rsid w:val="002E622A"/>
    <w:rsid w:val="002F178B"/>
    <w:rsid w:val="002F58B5"/>
    <w:rsid w:val="002F598B"/>
    <w:rsid w:val="003029E4"/>
    <w:rsid w:val="00302BD2"/>
    <w:rsid w:val="003076B9"/>
    <w:rsid w:val="00313B1D"/>
    <w:rsid w:val="00315334"/>
    <w:rsid w:val="00324670"/>
    <w:rsid w:val="0032537A"/>
    <w:rsid w:val="00332CCC"/>
    <w:rsid w:val="0033348D"/>
    <w:rsid w:val="003337DB"/>
    <w:rsid w:val="0034199D"/>
    <w:rsid w:val="00345BDE"/>
    <w:rsid w:val="00347414"/>
    <w:rsid w:val="00352633"/>
    <w:rsid w:val="00354BE1"/>
    <w:rsid w:val="00355B96"/>
    <w:rsid w:val="00360F14"/>
    <w:rsid w:val="0036164E"/>
    <w:rsid w:val="00367D3B"/>
    <w:rsid w:val="00386052"/>
    <w:rsid w:val="00386195"/>
    <w:rsid w:val="003864E6"/>
    <w:rsid w:val="00392EC5"/>
    <w:rsid w:val="003A32B0"/>
    <w:rsid w:val="003A445F"/>
    <w:rsid w:val="003A4FE1"/>
    <w:rsid w:val="003B1E95"/>
    <w:rsid w:val="003B2AD1"/>
    <w:rsid w:val="003B58DE"/>
    <w:rsid w:val="003C0801"/>
    <w:rsid w:val="003C1818"/>
    <w:rsid w:val="003C2A0D"/>
    <w:rsid w:val="003D0460"/>
    <w:rsid w:val="003E6106"/>
    <w:rsid w:val="003F01E7"/>
    <w:rsid w:val="003F66FA"/>
    <w:rsid w:val="0040526F"/>
    <w:rsid w:val="004059C9"/>
    <w:rsid w:val="004063C6"/>
    <w:rsid w:val="00407C31"/>
    <w:rsid w:val="00410406"/>
    <w:rsid w:val="004116B0"/>
    <w:rsid w:val="004152D4"/>
    <w:rsid w:val="004224CB"/>
    <w:rsid w:val="00431E7A"/>
    <w:rsid w:val="004344A1"/>
    <w:rsid w:val="004361C4"/>
    <w:rsid w:val="00441A63"/>
    <w:rsid w:val="004557F0"/>
    <w:rsid w:val="0045727D"/>
    <w:rsid w:val="004612F8"/>
    <w:rsid w:val="004614D0"/>
    <w:rsid w:val="00467447"/>
    <w:rsid w:val="00474746"/>
    <w:rsid w:val="00476EB4"/>
    <w:rsid w:val="00482634"/>
    <w:rsid w:val="00483CF6"/>
    <w:rsid w:val="00484C5B"/>
    <w:rsid w:val="0048622B"/>
    <w:rsid w:val="00490AAD"/>
    <w:rsid w:val="004A1587"/>
    <w:rsid w:val="004A5E97"/>
    <w:rsid w:val="004A654F"/>
    <w:rsid w:val="004B1A08"/>
    <w:rsid w:val="004B2E1C"/>
    <w:rsid w:val="004B72EE"/>
    <w:rsid w:val="004C13FE"/>
    <w:rsid w:val="004C44AC"/>
    <w:rsid w:val="004C591E"/>
    <w:rsid w:val="004D3685"/>
    <w:rsid w:val="004D46F1"/>
    <w:rsid w:val="004D5282"/>
    <w:rsid w:val="004D6685"/>
    <w:rsid w:val="004E1E43"/>
    <w:rsid w:val="004E543E"/>
    <w:rsid w:val="004E7BF3"/>
    <w:rsid w:val="004F0E9B"/>
    <w:rsid w:val="004F3657"/>
    <w:rsid w:val="004F40D0"/>
    <w:rsid w:val="004F4EEE"/>
    <w:rsid w:val="004F4FE7"/>
    <w:rsid w:val="00501D60"/>
    <w:rsid w:val="005060D9"/>
    <w:rsid w:val="005109D1"/>
    <w:rsid w:val="00511C38"/>
    <w:rsid w:val="00513FB0"/>
    <w:rsid w:val="0051533E"/>
    <w:rsid w:val="005207AB"/>
    <w:rsid w:val="0052204E"/>
    <w:rsid w:val="00525169"/>
    <w:rsid w:val="005262ED"/>
    <w:rsid w:val="00534CBB"/>
    <w:rsid w:val="00535636"/>
    <w:rsid w:val="0053614B"/>
    <w:rsid w:val="005361CD"/>
    <w:rsid w:val="005408E4"/>
    <w:rsid w:val="00543F77"/>
    <w:rsid w:val="0054584B"/>
    <w:rsid w:val="00547E56"/>
    <w:rsid w:val="00555AE4"/>
    <w:rsid w:val="005568B9"/>
    <w:rsid w:val="0056195F"/>
    <w:rsid w:val="005647FB"/>
    <w:rsid w:val="00565A7D"/>
    <w:rsid w:val="00567B10"/>
    <w:rsid w:val="00567B68"/>
    <w:rsid w:val="00571624"/>
    <w:rsid w:val="00597B90"/>
    <w:rsid w:val="005A1344"/>
    <w:rsid w:val="005A54FA"/>
    <w:rsid w:val="005A748B"/>
    <w:rsid w:val="005B19A4"/>
    <w:rsid w:val="005B2EAF"/>
    <w:rsid w:val="005B3755"/>
    <w:rsid w:val="005B51E4"/>
    <w:rsid w:val="005B529E"/>
    <w:rsid w:val="005B60C2"/>
    <w:rsid w:val="005B76C9"/>
    <w:rsid w:val="005C48BA"/>
    <w:rsid w:val="005C6730"/>
    <w:rsid w:val="005D526F"/>
    <w:rsid w:val="005E0BCE"/>
    <w:rsid w:val="005E43CF"/>
    <w:rsid w:val="005E45F5"/>
    <w:rsid w:val="005E64AF"/>
    <w:rsid w:val="005E68A1"/>
    <w:rsid w:val="005F02D6"/>
    <w:rsid w:val="005F0F28"/>
    <w:rsid w:val="005F296C"/>
    <w:rsid w:val="00602818"/>
    <w:rsid w:val="00612837"/>
    <w:rsid w:val="00614517"/>
    <w:rsid w:val="006224EB"/>
    <w:rsid w:val="006236F0"/>
    <w:rsid w:val="00625D9E"/>
    <w:rsid w:val="00626BAD"/>
    <w:rsid w:val="00631A87"/>
    <w:rsid w:val="00632941"/>
    <w:rsid w:val="00641919"/>
    <w:rsid w:val="006457AF"/>
    <w:rsid w:val="00647FD9"/>
    <w:rsid w:val="00652F15"/>
    <w:rsid w:val="00652F1B"/>
    <w:rsid w:val="006554FE"/>
    <w:rsid w:val="00656932"/>
    <w:rsid w:val="006635FE"/>
    <w:rsid w:val="00667981"/>
    <w:rsid w:val="00675014"/>
    <w:rsid w:val="006757F5"/>
    <w:rsid w:val="00676D87"/>
    <w:rsid w:val="0067721E"/>
    <w:rsid w:val="006845E1"/>
    <w:rsid w:val="006848C8"/>
    <w:rsid w:val="00685DE2"/>
    <w:rsid w:val="00685E15"/>
    <w:rsid w:val="006860E8"/>
    <w:rsid w:val="006863F6"/>
    <w:rsid w:val="006864D2"/>
    <w:rsid w:val="0069346A"/>
    <w:rsid w:val="0069468F"/>
    <w:rsid w:val="00695B4B"/>
    <w:rsid w:val="0069714F"/>
    <w:rsid w:val="006A595A"/>
    <w:rsid w:val="006A74C6"/>
    <w:rsid w:val="006A7D81"/>
    <w:rsid w:val="006B1A80"/>
    <w:rsid w:val="006B3110"/>
    <w:rsid w:val="006B369E"/>
    <w:rsid w:val="006C6C3A"/>
    <w:rsid w:val="006D2E09"/>
    <w:rsid w:val="006D4684"/>
    <w:rsid w:val="006E1621"/>
    <w:rsid w:val="006E513B"/>
    <w:rsid w:val="006E67C4"/>
    <w:rsid w:val="006F2718"/>
    <w:rsid w:val="006F2A08"/>
    <w:rsid w:val="006F7707"/>
    <w:rsid w:val="0070054E"/>
    <w:rsid w:val="00703C22"/>
    <w:rsid w:val="00705869"/>
    <w:rsid w:val="00714470"/>
    <w:rsid w:val="00723897"/>
    <w:rsid w:val="00733458"/>
    <w:rsid w:val="00736CDA"/>
    <w:rsid w:val="0074155D"/>
    <w:rsid w:val="00743E1C"/>
    <w:rsid w:val="00744153"/>
    <w:rsid w:val="00745B2E"/>
    <w:rsid w:val="00753E41"/>
    <w:rsid w:val="0076304D"/>
    <w:rsid w:val="0076388C"/>
    <w:rsid w:val="00764FED"/>
    <w:rsid w:val="007665FF"/>
    <w:rsid w:val="00770F9F"/>
    <w:rsid w:val="007857CF"/>
    <w:rsid w:val="00786E5D"/>
    <w:rsid w:val="00793D44"/>
    <w:rsid w:val="007A3E1B"/>
    <w:rsid w:val="007B153E"/>
    <w:rsid w:val="007B7CD2"/>
    <w:rsid w:val="007C6478"/>
    <w:rsid w:val="007C7E7B"/>
    <w:rsid w:val="007D0060"/>
    <w:rsid w:val="007D06A1"/>
    <w:rsid w:val="007D1C92"/>
    <w:rsid w:val="007D4C39"/>
    <w:rsid w:val="007D770B"/>
    <w:rsid w:val="007E0246"/>
    <w:rsid w:val="007E0557"/>
    <w:rsid w:val="007F4B9C"/>
    <w:rsid w:val="007F584B"/>
    <w:rsid w:val="007F6D58"/>
    <w:rsid w:val="008003B5"/>
    <w:rsid w:val="008003C6"/>
    <w:rsid w:val="008033F8"/>
    <w:rsid w:val="008036FD"/>
    <w:rsid w:val="00813359"/>
    <w:rsid w:val="00816B41"/>
    <w:rsid w:val="008301C5"/>
    <w:rsid w:val="008400AB"/>
    <w:rsid w:val="008401BB"/>
    <w:rsid w:val="00843195"/>
    <w:rsid w:val="00851FEE"/>
    <w:rsid w:val="00853479"/>
    <w:rsid w:val="00854C09"/>
    <w:rsid w:val="00854DB5"/>
    <w:rsid w:val="00861988"/>
    <w:rsid w:val="00865EBD"/>
    <w:rsid w:val="00870F4E"/>
    <w:rsid w:val="00876224"/>
    <w:rsid w:val="00877029"/>
    <w:rsid w:val="00881C14"/>
    <w:rsid w:val="008824C4"/>
    <w:rsid w:val="008852DA"/>
    <w:rsid w:val="008858B6"/>
    <w:rsid w:val="00890B54"/>
    <w:rsid w:val="008954A8"/>
    <w:rsid w:val="0089655B"/>
    <w:rsid w:val="008974E1"/>
    <w:rsid w:val="008A07D1"/>
    <w:rsid w:val="008A77DD"/>
    <w:rsid w:val="008A7D68"/>
    <w:rsid w:val="008C3227"/>
    <w:rsid w:val="008C44C2"/>
    <w:rsid w:val="008C4B6A"/>
    <w:rsid w:val="008D21AA"/>
    <w:rsid w:val="008D6590"/>
    <w:rsid w:val="008D766B"/>
    <w:rsid w:val="008E1922"/>
    <w:rsid w:val="008E4563"/>
    <w:rsid w:val="008E47FC"/>
    <w:rsid w:val="008E5417"/>
    <w:rsid w:val="008E61E7"/>
    <w:rsid w:val="008E7856"/>
    <w:rsid w:val="008F0BA8"/>
    <w:rsid w:val="008F1182"/>
    <w:rsid w:val="008F1340"/>
    <w:rsid w:val="008F37AF"/>
    <w:rsid w:val="0090428B"/>
    <w:rsid w:val="00910DD1"/>
    <w:rsid w:val="0091105A"/>
    <w:rsid w:val="00916493"/>
    <w:rsid w:val="0092111D"/>
    <w:rsid w:val="009266B9"/>
    <w:rsid w:val="0093210F"/>
    <w:rsid w:val="00940F6E"/>
    <w:rsid w:val="00942F16"/>
    <w:rsid w:val="00945C8B"/>
    <w:rsid w:val="00946ADE"/>
    <w:rsid w:val="00947F90"/>
    <w:rsid w:val="009553B6"/>
    <w:rsid w:val="00960BBA"/>
    <w:rsid w:val="00965AF1"/>
    <w:rsid w:val="00966471"/>
    <w:rsid w:val="00967D26"/>
    <w:rsid w:val="00973653"/>
    <w:rsid w:val="00974BDE"/>
    <w:rsid w:val="009813DD"/>
    <w:rsid w:val="00983968"/>
    <w:rsid w:val="00983DB3"/>
    <w:rsid w:val="00984876"/>
    <w:rsid w:val="009851E4"/>
    <w:rsid w:val="009A183E"/>
    <w:rsid w:val="009A18DB"/>
    <w:rsid w:val="009B0164"/>
    <w:rsid w:val="009B3038"/>
    <w:rsid w:val="009B45F0"/>
    <w:rsid w:val="009B507A"/>
    <w:rsid w:val="009C24B6"/>
    <w:rsid w:val="009C2637"/>
    <w:rsid w:val="009C7796"/>
    <w:rsid w:val="009D219F"/>
    <w:rsid w:val="009D3892"/>
    <w:rsid w:val="009D3D9A"/>
    <w:rsid w:val="009E1008"/>
    <w:rsid w:val="009E7929"/>
    <w:rsid w:val="009F5E06"/>
    <w:rsid w:val="00A01F03"/>
    <w:rsid w:val="00A03C14"/>
    <w:rsid w:val="00A0672F"/>
    <w:rsid w:val="00A11981"/>
    <w:rsid w:val="00A153AB"/>
    <w:rsid w:val="00A1669A"/>
    <w:rsid w:val="00A202E3"/>
    <w:rsid w:val="00A275AE"/>
    <w:rsid w:val="00A43401"/>
    <w:rsid w:val="00A46D4C"/>
    <w:rsid w:val="00A476AB"/>
    <w:rsid w:val="00A47C96"/>
    <w:rsid w:val="00A5006F"/>
    <w:rsid w:val="00A5019A"/>
    <w:rsid w:val="00A566D6"/>
    <w:rsid w:val="00A56975"/>
    <w:rsid w:val="00A5788C"/>
    <w:rsid w:val="00A62B97"/>
    <w:rsid w:val="00A63047"/>
    <w:rsid w:val="00A638EC"/>
    <w:rsid w:val="00A66045"/>
    <w:rsid w:val="00A67BED"/>
    <w:rsid w:val="00A72ABC"/>
    <w:rsid w:val="00A738D9"/>
    <w:rsid w:val="00A75968"/>
    <w:rsid w:val="00A826E3"/>
    <w:rsid w:val="00A8596B"/>
    <w:rsid w:val="00A85BD2"/>
    <w:rsid w:val="00A865EC"/>
    <w:rsid w:val="00A87385"/>
    <w:rsid w:val="00A94C93"/>
    <w:rsid w:val="00AA0E66"/>
    <w:rsid w:val="00AA107C"/>
    <w:rsid w:val="00AA133F"/>
    <w:rsid w:val="00AA366B"/>
    <w:rsid w:val="00AA4F26"/>
    <w:rsid w:val="00AB458E"/>
    <w:rsid w:val="00AC41A0"/>
    <w:rsid w:val="00AD35E7"/>
    <w:rsid w:val="00AD6222"/>
    <w:rsid w:val="00AE3025"/>
    <w:rsid w:val="00AE45C3"/>
    <w:rsid w:val="00AE5A9F"/>
    <w:rsid w:val="00AF09C5"/>
    <w:rsid w:val="00B02122"/>
    <w:rsid w:val="00B03DAA"/>
    <w:rsid w:val="00B06281"/>
    <w:rsid w:val="00B06C53"/>
    <w:rsid w:val="00B11577"/>
    <w:rsid w:val="00B14BAD"/>
    <w:rsid w:val="00B164DA"/>
    <w:rsid w:val="00B343DC"/>
    <w:rsid w:val="00B416AC"/>
    <w:rsid w:val="00B41CA1"/>
    <w:rsid w:val="00B46586"/>
    <w:rsid w:val="00B511E0"/>
    <w:rsid w:val="00B560AD"/>
    <w:rsid w:val="00B56619"/>
    <w:rsid w:val="00B60B21"/>
    <w:rsid w:val="00B63C3C"/>
    <w:rsid w:val="00B67288"/>
    <w:rsid w:val="00B67FD6"/>
    <w:rsid w:val="00B70A18"/>
    <w:rsid w:val="00B77834"/>
    <w:rsid w:val="00B80D82"/>
    <w:rsid w:val="00B824BE"/>
    <w:rsid w:val="00B832A8"/>
    <w:rsid w:val="00B84901"/>
    <w:rsid w:val="00B85C40"/>
    <w:rsid w:val="00B85D5B"/>
    <w:rsid w:val="00B8725B"/>
    <w:rsid w:val="00B9680F"/>
    <w:rsid w:val="00BA421A"/>
    <w:rsid w:val="00BB0B55"/>
    <w:rsid w:val="00BB2245"/>
    <w:rsid w:val="00BB2994"/>
    <w:rsid w:val="00BB3AE1"/>
    <w:rsid w:val="00BB3F83"/>
    <w:rsid w:val="00BB466C"/>
    <w:rsid w:val="00BB4D81"/>
    <w:rsid w:val="00BC0D96"/>
    <w:rsid w:val="00BC1F84"/>
    <w:rsid w:val="00BC3300"/>
    <w:rsid w:val="00BC3DA8"/>
    <w:rsid w:val="00BC775F"/>
    <w:rsid w:val="00BD0539"/>
    <w:rsid w:val="00BD1FDA"/>
    <w:rsid w:val="00BD3500"/>
    <w:rsid w:val="00BD408B"/>
    <w:rsid w:val="00BD6FAF"/>
    <w:rsid w:val="00BE0195"/>
    <w:rsid w:val="00BE3916"/>
    <w:rsid w:val="00BE3F6F"/>
    <w:rsid w:val="00BE42EA"/>
    <w:rsid w:val="00BF0E8B"/>
    <w:rsid w:val="00BF769A"/>
    <w:rsid w:val="00BF79AA"/>
    <w:rsid w:val="00C001AC"/>
    <w:rsid w:val="00C00F1F"/>
    <w:rsid w:val="00C01303"/>
    <w:rsid w:val="00C0300C"/>
    <w:rsid w:val="00C066BB"/>
    <w:rsid w:val="00C107C5"/>
    <w:rsid w:val="00C1458D"/>
    <w:rsid w:val="00C249A9"/>
    <w:rsid w:val="00C30998"/>
    <w:rsid w:val="00C3225C"/>
    <w:rsid w:val="00C40B97"/>
    <w:rsid w:val="00C45302"/>
    <w:rsid w:val="00C5423C"/>
    <w:rsid w:val="00C548A3"/>
    <w:rsid w:val="00C57920"/>
    <w:rsid w:val="00C6434E"/>
    <w:rsid w:val="00C7399A"/>
    <w:rsid w:val="00C77227"/>
    <w:rsid w:val="00C84926"/>
    <w:rsid w:val="00C85EAD"/>
    <w:rsid w:val="00C90AC7"/>
    <w:rsid w:val="00C91E2A"/>
    <w:rsid w:val="00C922D8"/>
    <w:rsid w:val="00C93CAB"/>
    <w:rsid w:val="00C9558A"/>
    <w:rsid w:val="00C9658E"/>
    <w:rsid w:val="00C970F3"/>
    <w:rsid w:val="00CA1F80"/>
    <w:rsid w:val="00CC017B"/>
    <w:rsid w:val="00CC02C6"/>
    <w:rsid w:val="00CC4FAB"/>
    <w:rsid w:val="00CC62B6"/>
    <w:rsid w:val="00CC7378"/>
    <w:rsid w:val="00CD07DA"/>
    <w:rsid w:val="00CD5967"/>
    <w:rsid w:val="00CD60DF"/>
    <w:rsid w:val="00CD6193"/>
    <w:rsid w:val="00CD71ED"/>
    <w:rsid w:val="00CE3FA0"/>
    <w:rsid w:val="00CF0E86"/>
    <w:rsid w:val="00D00043"/>
    <w:rsid w:val="00D01F49"/>
    <w:rsid w:val="00D0615C"/>
    <w:rsid w:val="00D10F62"/>
    <w:rsid w:val="00D1378D"/>
    <w:rsid w:val="00D14C1E"/>
    <w:rsid w:val="00D178B2"/>
    <w:rsid w:val="00D21CA3"/>
    <w:rsid w:val="00D224B4"/>
    <w:rsid w:val="00D25CB9"/>
    <w:rsid w:val="00D27E92"/>
    <w:rsid w:val="00D35F51"/>
    <w:rsid w:val="00D42E11"/>
    <w:rsid w:val="00D45B4B"/>
    <w:rsid w:val="00D475F8"/>
    <w:rsid w:val="00D513DB"/>
    <w:rsid w:val="00D5350B"/>
    <w:rsid w:val="00D60CBC"/>
    <w:rsid w:val="00D65D37"/>
    <w:rsid w:val="00D66CA9"/>
    <w:rsid w:val="00D67717"/>
    <w:rsid w:val="00D75EA8"/>
    <w:rsid w:val="00D766EB"/>
    <w:rsid w:val="00D779D6"/>
    <w:rsid w:val="00D87A01"/>
    <w:rsid w:val="00D902C1"/>
    <w:rsid w:val="00D90918"/>
    <w:rsid w:val="00D94DB1"/>
    <w:rsid w:val="00D9733E"/>
    <w:rsid w:val="00DA3A03"/>
    <w:rsid w:val="00DA72DB"/>
    <w:rsid w:val="00DA7B2A"/>
    <w:rsid w:val="00DB0ABD"/>
    <w:rsid w:val="00DB1C5B"/>
    <w:rsid w:val="00DB3913"/>
    <w:rsid w:val="00DC12DD"/>
    <w:rsid w:val="00DC1695"/>
    <w:rsid w:val="00DC3550"/>
    <w:rsid w:val="00DC6C75"/>
    <w:rsid w:val="00DD1837"/>
    <w:rsid w:val="00DD5648"/>
    <w:rsid w:val="00DF45E5"/>
    <w:rsid w:val="00DF65BE"/>
    <w:rsid w:val="00E003C1"/>
    <w:rsid w:val="00E00F93"/>
    <w:rsid w:val="00E02D44"/>
    <w:rsid w:val="00E16375"/>
    <w:rsid w:val="00E177D8"/>
    <w:rsid w:val="00E22CBE"/>
    <w:rsid w:val="00E255FB"/>
    <w:rsid w:val="00E26899"/>
    <w:rsid w:val="00E32EA1"/>
    <w:rsid w:val="00E3603F"/>
    <w:rsid w:val="00E37500"/>
    <w:rsid w:val="00E40E5C"/>
    <w:rsid w:val="00E43E11"/>
    <w:rsid w:val="00E46463"/>
    <w:rsid w:val="00E4684B"/>
    <w:rsid w:val="00E506B8"/>
    <w:rsid w:val="00E51A86"/>
    <w:rsid w:val="00E536D6"/>
    <w:rsid w:val="00E53CF2"/>
    <w:rsid w:val="00E60DE6"/>
    <w:rsid w:val="00E75621"/>
    <w:rsid w:val="00E808CE"/>
    <w:rsid w:val="00E84BF9"/>
    <w:rsid w:val="00EA090E"/>
    <w:rsid w:val="00EA6EFD"/>
    <w:rsid w:val="00EB0135"/>
    <w:rsid w:val="00EB1806"/>
    <w:rsid w:val="00EB4F53"/>
    <w:rsid w:val="00EC0E53"/>
    <w:rsid w:val="00EC20C8"/>
    <w:rsid w:val="00EC495E"/>
    <w:rsid w:val="00EC60F4"/>
    <w:rsid w:val="00EC77DC"/>
    <w:rsid w:val="00ED008C"/>
    <w:rsid w:val="00ED080E"/>
    <w:rsid w:val="00ED578E"/>
    <w:rsid w:val="00ED6C53"/>
    <w:rsid w:val="00EF27BC"/>
    <w:rsid w:val="00EF32FE"/>
    <w:rsid w:val="00EF6C96"/>
    <w:rsid w:val="00F01D46"/>
    <w:rsid w:val="00F023D7"/>
    <w:rsid w:val="00F108C2"/>
    <w:rsid w:val="00F11759"/>
    <w:rsid w:val="00F125CE"/>
    <w:rsid w:val="00F12D70"/>
    <w:rsid w:val="00F15311"/>
    <w:rsid w:val="00F1705E"/>
    <w:rsid w:val="00F17F31"/>
    <w:rsid w:val="00F22B92"/>
    <w:rsid w:val="00F25FD2"/>
    <w:rsid w:val="00F31356"/>
    <w:rsid w:val="00F32432"/>
    <w:rsid w:val="00F4011C"/>
    <w:rsid w:val="00F51030"/>
    <w:rsid w:val="00F51B31"/>
    <w:rsid w:val="00F52D0F"/>
    <w:rsid w:val="00F5341A"/>
    <w:rsid w:val="00F5400A"/>
    <w:rsid w:val="00F54D87"/>
    <w:rsid w:val="00F54F1A"/>
    <w:rsid w:val="00F73F7D"/>
    <w:rsid w:val="00F76523"/>
    <w:rsid w:val="00F805F5"/>
    <w:rsid w:val="00F82AD7"/>
    <w:rsid w:val="00F83CBC"/>
    <w:rsid w:val="00F9069F"/>
    <w:rsid w:val="00F90B62"/>
    <w:rsid w:val="00F94D12"/>
    <w:rsid w:val="00F958EF"/>
    <w:rsid w:val="00F962F0"/>
    <w:rsid w:val="00FA15F2"/>
    <w:rsid w:val="00FA466F"/>
    <w:rsid w:val="00FA6B0C"/>
    <w:rsid w:val="00FA71F7"/>
    <w:rsid w:val="00FB048E"/>
    <w:rsid w:val="00FB0AAA"/>
    <w:rsid w:val="00FB6880"/>
    <w:rsid w:val="00FB6B15"/>
    <w:rsid w:val="00FB7EB8"/>
    <w:rsid w:val="00FB7F1A"/>
    <w:rsid w:val="00FC1762"/>
    <w:rsid w:val="00FC2F74"/>
    <w:rsid w:val="00FC4B18"/>
    <w:rsid w:val="00FC58C2"/>
    <w:rsid w:val="00FD5B07"/>
    <w:rsid w:val="00FD6EC4"/>
    <w:rsid w:val="00FE1D30"/>
    <w:rsid w:val="00FE75DF"/>
    <w:rsid w:val="00FF0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250B5FA3"/>
  <w15:docId w15:val="{7831A5C5-E25B-4152-ABEF-2AE1BFB0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471"/>
    <w:rPr>
      <w:lang w:val="en-IE"/>
    </w:rPr>
  </w:style>
  <w:style w:type="paragraph" w:styleId="Heading1">
    <w:name w:val="heading 1"/>
    <w:basedOn w:val="Normal"/>
    <w:next w:val="Normal"/>
    <w:link w:val="Heading1Char"/>
    <w:uiPriority w:val="9"/>
    <w:qFormat/>
    <w:rsid w:val="000B03EB"/>
    <w:pPr>
      <w:keepNext/>
      <w:keepLines/>
      <w:pBdr>
        <w:bottom w:val="single" w:sz="4" w:space="2" w:color="3F3F3F"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0B03EB"/>
    <w:pPr>
      <w:keepNext/>
      <w:keepLines/>
      <w:spacing w:before="120" w:after="0" w:line="240" w:lineRule="auto"/>
      <w:outlineLvl w:val="1"/>
    </w:pPr>
    <w:rPr>
      <w:rFonts w:asciiTheme="majorHAnsi" w:eastAsiaTheme="majorEastAsia" w:hAnsiTheme="majorHAnsi" w:cstheme="majorBidi"/>
      <w:color w:val="3F3F3F" w:themeColor="accent2"/>
      <w:sz w:val="36"/>
      <w:szCs w:val="36"/>
    </w:rPr>
  </w:style>
  <w:style w:type="paragraph" w:styleId="Heading3">
    <w:name w:val="heading 3"/>
    <w:basedOn w:val="Normal"/>
    <w:next w:val="Normal"/>
    <w:link w:val="Heading3Char"/>
    <w:uiPriority w:val="9"/>
    <w:unhideWhenUsed/>
    <w:qFormat/>
    <w:rsid w:val="000B03EB"/>
    <w:pPr>
      <w:keepNext/>
      <w:keepLines/>
      <w:spacing w:before="80" w:after="0" w:line="240" w:lineRule="auto"/>
      <w:outlineLvl w:val="2"/>
    </w:pPr>
    <w:rPr>
      <w:rFonts w:asciiTheme="majorHAnsi" w:eastAsiaTheme="majorEastAsia" w:hAnsiTheme="majorHAnsi" w:cstheme="majorBidi"/>
      <w:color w:val="2F2F2F" w:themeColor="accent2" w:themeShade="BF"/>
      <w:sz w:val="32"/>
      <w:szCs w:val="32"/>
    </w:rPr>
  </w:style>
  <w:style w:type="paragraph" w:styleId="Heading4">
    <w:name w:val="heading 4"/>
    <w:basedOn w:val="Normal"/>
    <w:next w:val="Normal"/>
    <w:link w:val="Heading4Char"/>
    <w:uiPriority w:val="9"/>
    <w:unhideWhenUsed/>
    <w:qFormat/>
    <w:rsid w:val="000B03EB"/>
    <w:pPr>
      <w:keepNext/>
      <w:keepLines/>
      <w:spacing w:before="80" w:after="0" w:line="240" w:lineRule="auto"/>
      <w:outlineLvl w:val="3"/>
    </w:pPr>
    <w:rPr>
      <w:rFonts w:asciiTheme="majorHAnsi" w:eastAsiaTheme="majorEastAsia" w:hAnsiTheme="majorHAnsi" w:cstheme="majorBidi"/>
      <w:i/>
      <w:iCs/>
      <w:color w:val="1F1F1F" w:themeColor="accent2" w:themeShade="80"/>
      <w:sz w:val="28"/>
      <w:szCs w:val="28"/>
    </w:rPr>
  </w:style>
  <w:style w:type="paragraph" w:styleId="Heading5">
    <w:name w:val="heading 5"/>
    <w:basedOn w:val="Normal"/>
    <w:next w:val="Normal"/>
    <w:link w:val="Heading5Char"/>
    <w:uiPriority w:val="9"/>
    <w:unhideWhenUsed/>
    <w:qFormat/>
    <w:rsid w:val="000B03EB"/>
    <w:pPr>
      <w:keepNext/>
      <w:keepLines/>
      <w:spacing w:before="80" w:after="0" w:line="240" w:lineRule="auto"/>
      <w:outlineLvl w:val="4"/>
    </w:pPr>
    <w:rPr>
      <w:rFonts w:asciiTheme="majorHAnsi" w:eastAsiaTheme="majorEastAsia" w:hAnsiTheme="majorHAnsi" w:cstheme="majorBidi"/>
      <w:color w:val="2F2F2F" w:themeColor="accent2" w:themeShade="BF"/>
      <w:sz w:val="24"/>
      <w:szCs w:val="24"/>
    </w:rPr>
  </w:style>
  <w:style w:type="paragraph" w:styleId="Heading6">
    <w:name w:val="heading 6"/>
    <w:basedOn w:val="Normal"/>
    <w:next w:val="Normal"/>
    <w:link w:val="Heading6Char"/>
    <w:uiPriority w:val="9"/>
    <w:unhideWhenUsed/>
    <w:qFormat/>
    <w:rsid w:val="000B03EB"/>
    <w:pPr>
      <w:keepNext/>
      <w:keepLines/>
      <w:spacing w:before="80" w:after="0" w:line="240" w:lineRule="auto"/>
      <w:outlineLvl w:val="5"/>
    </w:pPr>
    <w:rPr>
      <w:rFonts w:asciiTheme="majorHAnsi" w:eastAsiaTheme="majorEastAsia" w:hAnsiTheme="majorHAnsi" w:cstheme="majorBidi"/>
      <w:i/>
      <w:iCs/>
      <w:color w:val="1F1F1F" w:themeColor="accent2" w:themeShade="80"/>
      <w:sz w:val="24"/>
      <w:szCs w:val="24"/>
    </w:rPr>
  </w:style>
  <w:style w:type="paragraph" w:styleId="Heading7">
    <w:name w:val="heading 7"/>
    <w:basedOn w:val="Normal"/>
    <w:next w:val="Normal"/>
    <w:link w:val="Heading7Char"/>
    <w:uiPriority w:val="9"/>
    <w:unhideWhenUsed/>
    <w:qFormat/>
    <w:rsid w:val="000B03EB"/>
    <w:pPr>
      <w:keepNext/>
      <w:keepLines/>
      <w:spacing w:before="80" w:after="0" w:line="240" w:lineRule="auto"/>
      <w:outlineLvl w:val="6"/>
    </w:pPr>
    <w:rPr>
      <w:rFonts w:asciiTheme="majorHAnsi" w:eastAsiaTheme="majorEastAsia" w:hAnsiTheme="majorHAnsi" w:cstheme="majorBidi"/>
      <w:b/>
      <w:bCs/>
      <w:color w:val="1F1F1F" w:themeColor="accent2" w:themeShade="80"/>
      <w:sz w:val="22"/>
      <w:szCs w:val="22"/>
    </w:rPr>
  </w:style>
  <w:style w:type="paragraph" w:styleId="Heading8">
    <w:name w:val="heading 8"/>
    <w:basedOn w:val="Normal"/>
    <w:next w:val="Normal"/>
    <w:link w:val="Heading8Char"/>
    <w:uiPriority w:val="9"/>
    <w:semiHidden/>
    <w:unhideWhenUsed/>
    <w:qFormat/>
    <w:rsid w:val="000B03EB"/>
    <w:pPr>
      <w:keepNext/>
      <w:keepLines/>
      <w:spacing w:before="80" w:after="0" w:line="240" w:lineRule="auto"/>
      <w:outlineLvl w:val="7"/>
    </w:pPr>
    <w:rPr>
      <w:rFonts w:asciiTheme="majorHAnsi" w:eastAsiaTheme="majorEastAsia" w:hAnsiTheme="majorHAnsi" w:cstheme="majorBidi"/>
      <w:color w:val="1F1F1F" w:themeColor="accent2" w:themeShade="80"/>
      <w:sz w:val="22"/>
      <w:szCs w:val="22"/>
    </w:rPr>
  </w:style>
  <w:style w:type="paragraph" w:styleId="Heading9">
    <w:name w:val="heading 9"/>
    <w:basedOn w:val="Normal"/>
    <w:next w:val="Normal"/>
    <w:link w:val="Heading9Char"/>
    <w:uiPriority w:val="9"/>
    <w:semiHidden/>
    <w:unhideWhenUsed/>
    <w:qFormat/>
    <w:rsid w:val="000B03EB"/>
    <w:pPr>
      <w:keepNext/>
      <w:keepLines/>
      <w:spacing w:before="80" w:after="0" w:line="240" w:lineRule="auto"/>
      <w:outlineLvl w:val="8"/>
    </w:pPr>
    <w:rPr>
      <w:rFonts w:asciiTheme="majorHAnsi" w:eastAsiaTheme="majorEastAsia" w:hAnsiTheme="majorHAnsi" w:cstheme="majorBidi"/>
      <w:i/>
      <w:iCs/>
      <w:color w:val="1F1F1F"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3EB"/>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0B03EB"/>
    <w:rPr>
      <w:rFonts w:asciiTheme="majorHAnsi" w:eastAsiaTheme="majorEastAsia" w:hAnsiTheme="majorHAnsi" w:cstheme="majorBidi"/>
      <w:color w:val="3F3F3F" w:themeColor="accent2"/>
      <w:sz w:val="36"/>
      <w:szCs w:val="36"/>
    </w:rPr>
  </w:style>
  <w:style w:type="character" w:customStyle="1" w:styleId="Heading3Char">
    <w:name w:val="Heading 3 Char"/>
    <w:basedOn w:val="DefaultParagraphFont"/>
    <w:link w:val="Heading3"/>
    <w:uiPriority w:val="9"/>
    <w:rsid w:val="000B03EB"/>
    <w:rPr>
      <w:rFonts w:asciiTheme="majorHAnsi" w:eastAsiaTheme="majorEastAsia" w:hAnsiTheme="majorHAnsi" w:cstheme="majorBidi"/>
      <w:color w:val="2F2F2F" w:themeColor="accent2" w:themeShade="BF"/>
      <w:sz w:val="32"/>
      <w:szCs w:val="32"/>
    </w:rPr>
  </w:style>
  <w:style w:type="character" w:customStyle="1" w:styleId="Heading4Char">
    <w:name w:val="Heading 4 Char"/>
    <w:basedOn w:val="DefaultParagraphFont"/>
    <w:link w:val="Heading4"/>
    <w:uiPriority w:val="9"/>
    <w:rsid w:val="000B03EB"/>
    <w:rPr>
      <w:rFonts w:asciiTheme="majorHAnsi" w:eastAsiaTheme="majorEastAsia" w:hAnsiTheme="majorHAnsi" w:cstheme="majorBidi"/>
      <w:i/>
      <w:iCs/>
      <w:color w:val="1F1F1F" w:themeColor="accent2" w:themeShade="80"/>
      <w:sz w:val="28"/>
      <w:szCs w:val="28"/>
    </w:rPr>
  </w:style>
  <w:style w:type="character" w:customStyle="1" w:styleId="Heading5Char">
    <w:name w:val="Heading 5 Char"/>
    <w:basedOn w:val="DefaultParagraphFont"/>
    <w:link w:val="Heading5"/>
    <w:uiPriority w:val="9"/>
    <w:rsid w:val="000B03EB"/>
    <w:rPr>
      <w:rFonts w:asciiTheme="majorHAnsi" w:eastAsiaTheme="majorEastAsia" w:hAnsiTheme="majorHAnsi" w:cstheme="majorBidi"/>
      <w:color w:val="2F2F2F" w:themeColor="accent2" w:themeShade="BF"/>
      <w:sz w:val="24"/>
      <w:szCs w:val="24"/>
    </w:rPr>
  </w:style>
  <w:style w:type="character" w:customStyle="1" w:styleId="Heading6Char">
    <w:name w:val="Heading 6 Char"/>
    <w:basedOn w:val="DefaultParagraphFont"/>
    <w:link w:val="Heading6"/>
    <w:uiPriority w:val="9"/>
    <w:rsid w:val="000B03EB"/>
    <w:rPr>
      <w:rFonts w:asciiTheme="majorHAnsi" w:eastAsiaTheme="majorEastAsia" w:hAnsiTheme="majorHAnsi" w:cstheme="majorBidi"/>
      <w:i/>
      <w:iCs/>
      <w:color w:val="1F1F1F" w:themeColor="accent2" w:themeShade="80"/>
      <w:sz w:val="24"/>
      <w:szCs w:val="24"/>
    </w:rPr>
  </w:style>
  <w:style w:type="character" w:customStyle="1" w:styleId="Heading7Char">
    <w:name w:val="Heading 7 Char"/>
    <w:basedOn w:val="DefaultParagraphFont"/>
    <w:link w:val="Heading7"/>
    <w:uiPriority w:val="9"/>
    <w:rsid w:val="000B03EB"/>
    <w:rPr>
      <w:rFonts w:asciiTheme="majorHAnsi" w:eastAsiaTheme="majorEastAsia" w:hAnsiTheme="majorHAnsi" w:cstheme="majorBidi"/>
      <w:b/>
      <w:bCs/>
      <w:color w:val="1F1F1F" w:themeColor="accent2" w:themeShade="80"/>
      <w:sz w:val="22"/>
      <w:szCs w:val="22"/>
    </w:rPr>
  </w:style>
  <w:style w:type="character" w:customStyle="1" w:styleId="Heading8Char">
    <w:name w:val="Heading 8 Char"/>
    <w:basedOn w:val="DefaultParagraphFont"/>
    <w:link w:val="Heading8"/>
    <w:uiPriority w:val="9"/>
    <w:semiHidden/>
    <w:rsid w:val="000B03EB"/>
    <w:rPr>
      <w:rFonts w:asciiTheme="majorHAnsi" w:eastAsiaTheme="majorEastAsia" w:hAnsiTheme="majorHAnsi" w:cstheme="majorBidi"/>
      <w:color w:val="1F1F1F" w:themeColor="accent2" w:themeShade="80"/>
      <w:sz w:val="22"/>
      <w:szCs w:val="22"/>
    </w:rPr>
  </w:style>
  <w:style w:type="character" w:customStyle="1" w:styleId="Heading9Char">
    <w:name w:val="Heading 9 Char"/>
    <w:basedOn w:val="DefaultParagraphFont"/>
    <w:link w:val="Heading9"/>
    <w:uiPriority w:val="9"/>
    <w:semiHidden/>
    <w:rsid w:val="000B03EB"/>
    <w:rPr>
      <w:rFonts w:asciiTheme="majorHAnsi" w:eastAsiaTheme="majorEastAsia" w:hAnsiTheme="majorHAnsi" w:cstheme="majorBidi"/>
      <w:i/>
      <w:iCs/>
      <w:color w:val="1F1F1F" w:themeColor="accent2" w:themeShade="80"/>
      <w:sz w:val="22"/>
      <w:szCs w:val="22"/>
    </w:rPr>
  </w:style>
  <w:style w:type="paragraph" w:styleId="Caption">
    <w:name w:val="caption"/>
    <w:basedOn w:val="Normal"/>
    <w:next w:val="Normal"/>
    <w:uiPriority w:val="35"/>
    <w:semiHidden/>
    <w:unhideWhenUsed/>
    <w:qFormat/>
    <w:rsid w:val="000B03E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B03E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B03EB"/>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B03E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B03EB"/>
    <w:rPr>
      <w:caps/>
      <w:color w:val="404040" w:themeColor="text1" w:themeTint="BF"/>
      <w:spacing w:val="20"/>
      <w:sz w:val="28"/>
      <w:szCs w:val="28"/>
    </w:rPr>
  </w:style>
  <w:style w:type="paragraph" w:styleId="TOCHeading">
    <w:name w:val="TOC Heading"/>
    <w:basedOn w:val="Heading1"/>
    <w:next w:val="Normal"/>
    <w:uiPriority w:val="39"/>
    <w:unhideWhenUsed/>
    <w:qFormat/>
    <w:rsid w:val="000B03EB"/>
    <w:pPr>
      <w:outlineLvl w:val="9"/>
    </w:pPr>
  </w:style>
  <w:style w:type="table" w:styleId="TableGrid">
    <w:name w:val="Table Grid"/>
    <w:basedOn w:val="TableNormal"/>
    <w:uiPriority w:val="39"/>
    <w:rsid w:val="007F5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3-Accentuation11">
    <w:name w:val="Tableau Grille 3 - Accentuation 11"/>
    <w:basedOn w:val="TableNormal"/>
    <w:uiPriority w:val="48"/>
    <w:rsid w:val="007F584B"/>
    <w:pPr>
      <w:spacing w:after="0" w:line="240" w:lineRule="auto"/>
    </w:pPr>
    <w:tblPr>
      <w:tblStyleRowBandSize w:val="1"/>
      <w:tblStyleColBandSize w:val="1"/>
      <w:tblBorders>
        <w:top w:val="single" w:sz="4" w:space="0" w:color="8B8B8B" w:themeColor="accent1" w:themeTint="99"/>
        <w:left w:val="single" w:sz="4" w:space="0" w:color="8B8B8B" w:themeColor="accent1" w:themeTint="99"/>
        <w:bottom w:val="single" w:sz="4" w:space="0" w:color="8B8B8B" w:themeColor="accent1" w:themeTint="99"/>
        <w:right w:val="single" w:sz="4" w:space="0" w:color="8B8B8B" w:themeColor="accent1" w:themeTint="99"/>
        <w:insideH w:val="single" w:sz="4" w:space="0" w:color="8B8B8B" w:themeColor="accent1" w:themeTint="99"/>
        <w:insideV w:val="single" w:sz="4" w:space="0" w:color="8B8B8B"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accent1" w:themeFillTint="33"/>
      </w:tcPr>
    </w:tblStylePr>
    <w:tblStylePr w:type="band1Horz">
      <w:tblPr/>
      <w:tcPr>
        <w:shd w:val="clear" w:color="auto" w:fill="D8D8D8" w:themeFill="accent1" w:themeFillTint="33"/>
      </w:tcPr>
    </w:tblStylePr>
    <w:tblStylePr w:type="neCell">
      <w:tblPr/>
      <w:tcPr>
        <w:tcBorders>
          <w:bottom w:val="single" w:sz="4" w:space="0" w:color="8B8B8B" w:themeColor="accent1" w:themeTint="99"/>
        </w:tcBorders>
      </w:tcPr>
    </w:tblStylePr>
    <w:tblStylePr w:type="nwCell">
      <w:tblPr/>
      <w:tcPr>
        <w:tcBorders>
          <w:bottom w:val="single" w:sz="4" w:space="0" w:color="8B8B8B" w:themeColor="accent1" w:themeTint="99"/>
        </w:tcBorders>
      </w:tcPr>
    </w:tblStylePr>
    <w:tblStylePr w:type="seCell">
      <w:tblPr/>
      <w:tcPr>
        <w:tcBorders>
          <w:top w:val="single" w:sz="4" w:space="0" w:color="8B8B8B" w:themeColor="accent1" w:themeTint="99"/>
        </w:tcBorders>
      </w:tcPr>
    </w:tblStylePr>
    <w:tblStylePr w:type="swCell">
      <w:tblPr/>
      <w:tcPr>
        <w:tcBorders>
          <w:top w:val="single" w:sz="4" w:space="0" w:color="8B8B8B" w:themeColor="accent1" w:themeTint="99"/>
        </w:tcBorders>
      </w:tcPr>
    </w:tblStylePr>
  </w:style>
  <w:style w:type="table" w:customStyle="1" w:styleId="TableauListe7Couleur-Accentuation11">
    <w:name w:val="Tableau Liste 7 Couleur - Accentuation 11"/>
    <w:basedOn w:val="TableNormal"/>
    <w:uiPriority w:val="52"/>
    <w:rsid w:val="007F584B"/>
    <w:pPr>
      <w:spacing w:after="0" w:line="240" w:lineRule="auto"/>
    </w:pPr>
    <w:rPr>
      <w:color w:val="2F2F2F"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3F3F3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3F3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3F3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3F3F" w:themeColor="accent1"/>
        </w:tcBorders>
        <w:shd w:val="clear" w:color="auto" w:fill="FFFFFF" w:themeFill="background1"/>
      </w:tcPr>
    </w:tblStylePr>
    <w:tblStylePr w:type="band1Vert">
      <w:tblPr/>
      <w:tcPr>
        <w:shd w:val="clear" w:color="auto" w:fill="D8D8D8" w:themeFill="accent1" w:themeFillTint="33"/>
      </w:tcPr>
    </w:tblStylePr>
    <w:tblStylePr w:type="band1Horz">
      <w:tblPr/>
      <w:tcPr>
        <w:shd w:val="clear" w:color="auto" w:fill="D8D8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5Fonc-Accentuation11">
    <w:name w:val="Tableau Grille 5 Foncé - Accentuation 11"/>
    <w:basedOn w:val="TableNormal"/>
    <w:uiPriority w:val="50"/>
    <w:rsid w:val="007F58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8D8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F3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F3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F3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F3F" w:themeFill="accent1"/>
      </w:tcPr>
    </w:tblStylePr>
    <w:tblStylePr w:type="band1Vert">
      <w:tblPr/>
      <w:tcPr>
        <w:shd w:val="clear" w:color="auto" w:fill="B2B2B2" w:themeFill="accent1" w:themeFillTint="66"/>
      </w:tcPr>
    </w:tblStylePr>
    <w:tblStylePr w:type="band1Horz">
      <w:tblPr/>
      <w:tcPr>
        <w:shd w:val="clear" w:color="auto" w:fill="B2B2B2" w:themeFill="accent1" w:themeFillTint="66"/>
      </w:tcPr>
    </w:tblStylePr>
  </w:style>
  <w:style w:type="table" w:customStyle="1" w:styleId="TableauGrille4-Accentuation61">
    <w:name w:val="Tableau Grille 4 - Accentuation 61"/>
    <w:basedOn w:val="TableNormal"/>
    <w:uiPriority w:val="49"/>
    <w:rsid w:val="007F584B"/>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CellMar>
        <w:top w:w="29" w:type="dxa"/>
        <w:bottom w:w="29" w:type="dxa"/>
      </w:tblCellMar>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Grilledetableauclaire1">
    <w:name w:val="Grille de tableau claire1"/>
    <w:basedOn w:val="TableNormal"/>
    <w:uiPriority w:val="40"/>
    <w:rsid w:val="007F58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simple21">
    <w:name w:val="Tableau simple 21"/>
    <w:basedOn w:val="TableNormal"/>
    <w:uiPriority w:val="42"/>
    <w:rsid w:val="007F58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Liste2-Accentuation11">
    <w:name w:val="Tableau Liste 2 - Accentuation 11"/>
    <w:basedOn w:val="TableNormal"/>
    <w:uiPriority w:val="47"/>
    <w:rsid w:val="007F584B"/>
    <w:pPr>
      <w:spacing w:after="0" w:line="240" w:lineRule="auto"/>
    </w:pPr>
    <w:tblPr>
      <w:tblStyleRowBandSize w:val="1"/>
      <w:tblStyleColBandSize w:val="1"/>
      <w:tblBorders>
        <w:top w:val="single" w:sz="4" w:space="0" w:color="8B8B8B" w:themeColor="accent1" w:themeTint="99"/>
        <w:bottom w:val="single" w:sz="4" w:space="0" w:color="8B8B8B" w:themeColor="accent1" w:themeTint="99"/>
        <w:insideH w:val="single" w:sz="4" w:space="0" w:color="8B8B8B"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8" w:themeFill="accent1" w:themeFillTint="33"/>
      </w:tcPr>
    </w:tblStylePr>
    <w:tblStylePr w:type="band1Horz">
      <w:tblPr/>
      <w:tcPr>
        <w:shd w:val="clear" w:color="auto" w:fill="D8D8D8" w:themeFill="accent1" w:themeFillTint="33"/>
      </w:tcPr>
    </w:tblStylePr>
  </w:style>
  <w:style w:type="table" w:customStyle="1" w:styleId="TableauListe1Clair-Accentuation21">
    <w:name w:val="Tableau Liste 1 Clair - Accentuation 21"/>
    <w:basedOn w:val="TableNormal"/>
    <w:uiPriority w:val="46"/>
    <w:rsid w:val="007F584B"/>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8B8B8B" w:themeColor="accent2" w:themeTint="99"/>
        </w:tcBorders>
      </w:tcPr>
    </w:tblStylePr>
    <w:tblStylePr w:type="lastRow">
      <w:rPr>
        <w:b/>
        <w:bCs/>
      </w:rPr>
      <w:tblPr/>
      <w:tcPr>
        <w:tcBorders>
          <w:top w:val="single" w:sz="4" w:space="0" w:color="8B8B8B" w:themeColor="accent2" w:themeTint="99"/>
        </w:tcBorders>
      </w:tcPr>
    </w:tblStylePr>
    <w:tblStylePr w:type="firstCol">
      <w:rPr>
        <w:b/>
        <w:bCs/>
      </w:rPr>
    </w:tblStylePr>
    <w:tblStylePr w:type="lastCol">
      <w:rPr>
        <w:b/>
        <w:bCs/>
      </w:rPr>
    </w:tblStylePr>
    <w:tblStylePr w:type="band1Vert">
      <w:tblPr/>
      <w:tcPr>
        <w:shd w:val="clear" w:color="auto" w:fill="D8D8D8" w:themeFill="accent2" w:themeFillTint="33"/>
      </w:tcPr>
    </w:tblStylePr>
    <w:tblStylePr w:type="band1Horz">
      <w:tblPr/>
      <w:tcPr>
        <w:shd w:val="clear" w:color="auto" w:fill="D8D8D8" w:themeFill="accent2" w:themeFillTint="33"/>
      </w:tcPr>
    </w:tblStylePr>
  </w:style>
  <w:style w:type="character" w:styleId="PlaceholderText">
    <w:name w:val="Placeholder Text"/>
    <w:basedOn w:val="DefaultParagraphFont"/>
    <w:uiPriority w:val="2"/>
    <w:rsid w:val="007F584B"/>
    <w:rPr>
      <w:i/>
      <w:iCs/>
      <w:color w:val="808080"/>
    </w:rPr>
  </w:style>
  <w:style w:type="table" w:customStyle="1" w:styleId="TableauGrille4-Accentuation11">
    <w:name w:val="Tableau Grille 4 - Accentuation 11"/>
    <w:basedOn w:val="TableNormal"/>
    <w:uiPriority w:val="49"/>
    <w:rsid w:val="007F584B"/>
    <w:pPr>
      <w:spacing w:after="0" w:line="240" w:lineRule="auto"/>
    </w:pPr>
    <w:tblPr>
      <w:tblStyleRowBandSize w:val="1"/>
      <w:tblStyleColBandSize w:val="1"/>
      <w:tblBorders>
        <w:top w:val="single" w:sz="4" w:space="0" w:color="8B8B8B" w:themeColor="accent1" w:themeTint="99"/>
        <w:left w:val="single" w:sz="4" w:space="0" w:color="8B8B8B" w:themeColor="accent1" w:themeTint="99"/>
        <w:bottom w:val="single" w:sz="4" w:space="0" w:color="8B8B8B" w:themeColor="accent1" w:themeTint="99"/>
        <w:right w:val="single" w:sz="4" w:space="0" w:color="8B8B8B" w:themeColor="accent1" w:themeTint="99"/>
        <w:insideH w:val="single" w:sz="4" w:space="0" w:color="8B8B8B" w:themeColor="accent1" w:themeTint="99"/>
        <w:insideV w:val="single" w:sz="4" w:space="0" w:color="8B8B8B" w:themeColor="accent1" w:themeTint="99"/>
      </w:tblBorders>
      <w:tblCellMar>
        <w:top w:w="29" w:type="dxa"/>
        <w:bottom w:w="29" w:type="dxa"/>
      </w:tblCellMar>
    </w:tblPr>
    <w:tblStylePr w:type="firstRow">
      <w:rPr>
        <w:b/>
        <w:bCs/>
        <w:color w:val="FFFFFF" w:themeColor="background1"/>
      </w:rPr>
      <w:tblPr/>
      <w:tcPr>
        <w:tcBorders>
          <w:top w:val="single" w:sz="4" w:space="0" w:color="3F3F3F" w:themeColor="accent1"/>
          <w:left w:val="single" w:sz="4" w:space="0" w:color="3F3F3F" w:themeColor="accent1"/>
          <w:bottom w:val="single" w:sz="4" w:space="0" w:color="3F3F3F" w:themeColor="accent1"/>
          <w:right w:val="single" w:sz="4" w:space="0" w:color="3F3F3F" w:themeColor="accent1"/>
          <w:insideH w:val="nil"/>
          <w:insideV w:val="nil"/>
        </w:tcBorders>
        <w:shd w:val="clear" w:color="auto" w:fill="3F3F3F" w:themeFill="accent1"/>
      </w:tcPr>
    </w:tblStylePr>
    <w:tblStylePr w:type="lastRow">
      <w:rPr>
        <w:b/>
        <w:bCs/>
      </w:rPr>
      <w:tblPr/>
      <w:tcPr>
        <w:tcBorders>
          <w:top w:val="double" w:sz="4" w:space="0" w:color="3F3F3F" w:themeColor="accent1"/>
        </w:tcBorders>
      </w:tcPr>
    </w:tblStylePr>
    <w:tblStylePr w:type="firstCol">
      <w:rPr>
        <w:b/>
        <w:bCs/>
      </w:rPr>
    </w:tblStylePr>
    <w:tblStylePr w:type="lastCol">
      <w:rPr>
        <w:b/>
        <w:bCs/>
      </w:rPr>
    </w:tblStylePr>
    <w:tblStylePr w:type="band1Vert">
      <w:tblPr/>
      <w:tcPr>
        <w:shd w:val="clear" w:color="auto" w:fill="D8D8D8" w:themeFill="accent1" w:themeFillTint="33"/>
      </w:tcPr>
    </w:tblStylePr>
    <w:tblStylePr w:type="band1Horz">
      <w:tblPr/>
      <w:tcPr>
        <w:shd w:val="clear" w:color="auto" w:fill="D8D8D8" w:themeFill="accent1" w:themeFillTint="33"/>
      </w:tcPr>
    </w:tblStylePr>
  </w:style>
  <w:style w:type="table" w:customStyle="1" w:styleId="TableauGrille4-Accentuation21">
    <w:name w:val="Tableau Grille 4 - Accentuation 21"/>
    <w:basedOn w:val="TableNormal"/>
    <w:uiPriority w:val="49"/>
    <w:rsid w:val="007F584B"/>
    <w:pPr>
      <w:spacing w:after="0" w:line="240" w:lineRule="auto"/>
    </w:pPr>
    <w:tblPr>
      <w:tblStyleRowBandSize w:val="1"/>
      <w:tblStyleColBandSize w:val="1"/>
      <w:tblBorders>
        <w:top w:val="single" w:sz="4" w:space="0" w:color="8B8B8B" w:themeColor="accent2" w:themeTint="99"/>
        <w:left w:val="single" w:sz="4" w:space="0" w:color="8B8B8B" w:themeColor="accent2" w:themeTint="99"/>
        <w:bottom w:val="single" w:sz="4" w:space="0" w:color="8B8B8B" w:themeColor="accent2" w:themeTint="99"/>
        <w:right w:val="single" w:sz="4" w:space="0" w:color="8B8B8B" w:themeColor="accent2" w:themeTint="99"/>
        <w:insideH w:val="single" w:sz="4" w:space="0" w:color="8B8B8B" w:themeColor="accent2" w:themeTint="99"/>
        <w:insideV w:val="single" w:sz="4" w:space="0" w:color="8B8B8B" w:themeColor="accent2" w:themeTint="99"/>
      </w:tblBorders>
      <w:tblCellMar>
        <w:top w:w="29" w:type="dxa"/>
        <w:bottom w:w="29" w:type="dxa"/>
      </w:tblCellMar>
    </w:tblPr>
    <w:tblStylePr w:type="firstRow">
      <w:rPr>
        <w:b/>
        <w:bCs/>
        <w:color w:val="FFFFFF" w:themeColor="background1"/>
      </w:rPr>
      <w:tblPr/>
      <w:tcPr>
        <w:tcBorders>
          <w:top w:val="single" w:sz="4" w:space="0" w:color="3F3F3F" w:themeColor="accent2"/>
          <w:left w:val="single" w:sz="4" w:space="0" w:color="3F3F3F" w:themeColor="accent2"/>
          <w:bottom w:val="single" w:sz="4" w:space="0" w:color="3F3F3F" w:themeColor="accent2"/>
          <w:right w:val="single" w:sz="4" w:space="0" w:color="3F3F3F" w:themeColor="accent2"/>
          <w:insideH w:val="nil"/>
          <w:insideV w:val="nil"/>
        </w:tcBorders>
        <w:shd w:val="clear" w:color="auto" w:fill="3F3F3F" w:themeFill="accent2"/>
      </w:tcPr>
    </w:tblStylePr>
    <w:tblStylePr w:type="lastRow">
      <w:rPr>
        <w:b/>
        <w:bCs/>
      </w:rPr>
      <w:tblPr/>
      <w:tcPr>
        <w:tcBorders>
          <w:top w:val="double" w:sz="4" w:space="0" w:color="3F3F3F" w:themeColor="accent2"/>
        </w:tcBorders>
      </w:tcPr>
    </w:tblStylePr>
    <w:tblStylePr w:type="firstCol">
      <w:rPr>
        <w:b/>
        <w:bCs/>
      </w:rPr>
    </w:tblStylePr>
    <w:tblStylePr w:type="lastCol">
      <w:rPr>
        <w:b/>
        <w:bCs/>
      </w:rPr>
    </w:tblStylePr>
    <w:tblStylePr w:type="band1Vert">
      <w:tblPr/>
      <w:tcPr>
        <w:shd w:val="clear" w:color="auto" w:fill="D8D8D8" w:themeFill="accent2" w:themeFillTint="33"/>
      </w:tcPr>
    </w:tblStylePr>
    <w:tblStylePr w:type="band1Horz">
      <w:tblPr/>
      <w:tcPr>
        <w:shd w:val="clear" w:color="auto" w:fill="D8D8D8" w:themeFill="accent2" w:themeFillTint="33"/>
      </w:tcPr>
    </w:tblStylePr>
  </w:style>
  <w:style w:type="table" w:customStyle="1" w:styleId="Tableausimple41">
    <w:name w:val="Tableau simple 41"/>
    <w:basedOn w:val="TableNormal"/>
    <w:uiPriority w:val="44"/>
    <w:rsid w:val="007F584B"/>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Accentuation61">
    <w:name w:val="Tableau Grille 1 Clair - Accentuation 61"/>
    <w:basedOn w:val="TableNormal"/>
    <w:uiPriority w:val="46"/>
    <w:rsid w:val="007F584B"/>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CellMar>
        <w:top w:w="29" w:type="dxa"/>
        <w:bottom w:w="29" w:type="dxa"/>
      </w:tblCellMar>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customStyle="1" w:styleId="TableauListe1Clair-Accentuation61">
    <w:name w:val="Tableau Liste 1 Clair - Accentuation 61"/>
    <w:basedOn w:val="TableNormal"/>
    <w:uiPriority w:val="46"/>
    <w:rsid w:val="007F584B"/>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styleId="Footer">
    <w:name w:val="footer"/>
    <w:basedOn w:val="Normal"/>
    <w:link w:val="FooterChar"/>
    <w:uiPriority w:val="99"/>
    <w:rsid w:val="007F584B"/>
  </w:style>
  <w:style w:type="character" w:customStyle="1" w:styleId="FooterChar">
    <w:name w:val="Footer Char"/>
    <w:basedOn w:val="DefaultParagraphFont"/>
    <w:link w:val="Footer"/>
    <w:uiPriority w:val="99"/>
    <w:rsid w:val="007F584B"/>
  </w:style>
  <w:style w:type="table" w:customStyle="1" w:styleId="Noborders">
    <w:name w:val="No borders"/>
    <w:basedOn w:val="TableNormal"/>
    <w:uiPriority w:val="99"/>
    <w:rsid w:val="007F584B"/>
    <w:pPr>
      <w:spacing w:after="0" w:line="240" w:lineRule="auto"/>
    </w:pPr>
    <w:tblPr/>
  </w:style>
  <w:style w:type="table" w:customStyle="1" w:styleId="TableauGrille1Clair-Accentuation11">
    <w:name w:val="Tableau Grille 1 Clair - Accentuation 11"/>
    <w:aliases w:val="Sample questionnaires table"/>
    <w:basedOn w:val="TableNormal"/>
    <w:uiPriority w:val="46"/>
    <w:rsid w:val="007F584B"/>
    <w:pPr>
      <w:spacing w:after="0" w:line="240" w:lineRule="auto"/>
    </w:pPr>
    <w:tblPr>
      <w:tblStyleRowBandSize w:val="1"/>
      <w:tblStyleColBandSize w:val="1"/>
      <w:tblBorders>
        <w:insideH w:val="single" w:sz="4" w:space="0" w:color="3F3F3F" w:themeColor="accent1"/>
      </w:tblBorders>
      <w:tblCellMar>
        <w:top w:w="29" w:type="dxa"/>
        <w:bottom w:w="29" w:type="dxa"/>
      </w:tblCellMar>
    </w:tblPr>
    <w:tblStylePr w:type="firstRow">
      <w:rPr>
        <w:b w:val="0"/>
        <w:bCs/>
      </w:rPr>
      <w:tblPr/>
      <w:tcPr>
        <w:tcBorders>
          <w:top w:val="nil"/>
          <w:left w:val="nil"/>
          <w:bottom w:val="single" w:sz="12" w:space="0" w:color="3F3F3F" w:themeColor="accent1"/>
          <w:right w:val="nil"/>
          <w:insideH w:val="nil"/>
          <w:insideV w:val="nil"/>
          <w:tl2br w:val="nil"/>
          <w:tr2bl w:val="nil"/>
        </w:tcBorders>
      </w:tcPr>
    </w:tblStylePr>
    <w:tblStylePr w:type="lastRow">
      <w:rPr>
        <w:b/>
        <w:bCs/>
      </w:rPr>
      <w:tblPr/>
      <w:tcPr>
        <w:tcBorders>
          <w:top w:val="double" w:sz="2" w:space="0" w:color="8B8B8B" w:themeColor="accent1" w:themeTint="99"/>
        </w:tcBorders>
      </w:tcPr>
    </w:tblStylePr>
    <w:tblStylePr w:type="firstCol">
      <w:rPr>
        <w:b w:val="0"/>
        <w:bCs/>
      </w:rPr>
    </w:tblStylePr>
    <w:tblStylePr w:type="lastCol">
      <w:rPr>
        <w:b w:val="0"/>
        <w:bCs/>
      </w:rPr>
    </w:tblStylePr>
  </w:style>
  <w:style w:type="table" w:customStyle="1" w:styleId="TableauGrille2-Accentuation11">
    <w:name w:val="Tableau Grille 2 - Accentuation 11"/>
    <w:basedOn w:val="TableNormal"/>
    <w:uiPriority w:val="47"/>
    <w:rsid w:val="007F584B"/>
    <w:pPr>
      <w:spacing w:after="0" w:line="240" w:lineRule="auto"/>
    </w:pPr>
    <w:tblPr>
      <w:tblStyleRowBandSize w:val="1"/>
      <w:tblStyleColBandSize w:val="1"/>
      <w:tblBorders>
        <w:top w:val="single" w:sz="2" w:space="0" w:color="8B8B8B" w:themeColor="accent1" w:themeTint="99"/>
        <w:bottom w:val="single" w:sz="2" w:space="0" w:color="8B8B8B" w:themeColor="accent1" w:themeTint="99"/>
        <w:insideH w:val="single" w:sz="2" w:space="0" w:color="8B8B8B" w:themeColor="accent1" w:themeTint="99"/>
        <w:insideV w:val="single" w:sz="2" w:space="0" w:color="8B8B8B" w:themeColor="accent1" w:themeTint="99"/>
      </w:tblBorders>
      <w:tblCellMar>
        <w:top w:w="29" w:type="dxa"/>
        <w:bottom w:w="29" w:type="dxa"/>
      </w:tblCellMar>
    </w:tblPr>
    <w:tblStylePr w:type="firstRow">
      <w:rPr>
        <w:b/>
        <w:bCs/>
      </w:rPr>
      <w:tblPr/>
      <w:tcPr>
        <w:tcBorders>
          <w:top w:val="nil"/>
          <w:bottom w:val="single" w:sz="12" w:space="0" w:color="8B8B8B" w:themeColor="accent1" w:themeTint="99"/>
          <w:insideH w:val="nil"/>
          <w:insideV w:val="nil"/>
        </w:tcBorders>
        <w:shd w:val="clear" w:color="auto" w:fill="FFFFFF" w:themeFill="background1"/>
      </w:tcPr>
    </w:tblStylePr>
    <w:tblStylePr w:type="lastRow">
      <w:rPr>
        <w:b/>
        <w:bCs/>
      </w:rPr>
      <w:tblPr/>
      <w:tcPr>
        <w:tcBorders>
          <w:top w:val="double" w:sz="2" w:space="0" w:color="8B8B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accent1" w:themeFillTint="33"/>
      </w:tcPr>
    </w:tblStylePr>
    <w:tblStylePr w:type="band1Horz">
      <w:tblPr/>
      <w:tcPr>
        <w:shd w:val="clear" w:color="auto" w:fill="D8D8D8" w:themeFill="accent1" w:themeFillTint="33"/>
      </w:tcPr>
    </w:tblStylePr>
  </w:style>
  <w:style w:type="paragraph" w:customStyle="1" w:styleId="Logo">
    <w:name w:val="Logo"/>
    <w:basedOn w:val="Normal"/>
    <w:next w:val="Normal"/>
    <w:uiPriority w:val="1"/>
    <w:rsid w:val="00A638EC"/>
    <w:pPr>
      <w:spacing w:before="4700" w:after="1440"/>
      <w:jc w:val="right"/>
    </w:pPr>
    <w:rPr>
      <w:color w:val="264356" w:themeColor="text2" w:themeShade="BF"/>
      <w:sz w:val="52"/>
      <w:szCs w:val="52"/>
    </w:rPr>
  </w:style>
  <w:style w:type="paragraph" w:styleId="z-TopofForm">
    <w:name w:val="HTML Top of Form"/>
    <w:basedOn w:val="Normal"/>
    <w:next w:val="Normal"/>
    <w:link w:val="z-TopofFormChar"/>
    <w:hidden/>
    <w:uiPriority w:val="99"/>
    <w:semiHidden/>
    <w:unhideWhenUsed/>
    <w:rsid w:val="007F584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F584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F584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F584B"/>
    <w:rPr>
      <w:rFonts w:ascii="Arial" w:hAnsi="Arial" w:cs="Arial"/>
      <w:vanish/>
      <w:sz w:val="16"/>
      <w:szCs w:val="16"/>
    </w:rPr>
  </w:style>
  <w:style w:type="paragraph" w:customStyle="1" w:styleId="Contactinfo">
    <w:name w:val="Contact info"/>
    <w:basedOn w:val="Normal"/>
    <w:uiPriority w:val="1"/>
    <w:rsid w:val="00290347"/>
    <w:pPr>
      <w:spacing w:before="1680"/>
      <w:contextualSpacing/>
      <w:jc w:val="right"/>
    </w:pPr>
    <w:rPr>
      <w:caps/>
    </w:rPr>
  </w:style>
  <w:style w:type="table" w:customStyle="1" w:styleId="TableauGrille3-Accentuation31">
    <w:name w:val="Tableau Grille 3 - Accentuation 31"/>
    <w:basedOn w:val="TableNormal"/>
    <w:uiPriority w:val="48"/>
    <w:rsid w:val="007F584B"/>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customStyle="1" w:styleId="TableauGrille5Fonc-Accentuation31">
    <w:name w:val="Tableau Grille 5 Foncé - Accentuation 31"/>
    <w:basedOn w:val="TableNormal"/>
    <w:uiPriority w:val="50"/>
    <w:rsid w:val="007F58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customStyle="1" w:styleId="TableauGrille1Clair-Accentuation31">
    <w:name w:val="Tableau Grille 1 Clair - Accentuation 31"/>
    <w:basedOn w:val="TableNormal"/>
    <w:uiPriority w:val="46"/>
    <w:rsid w:val="007F584B"/>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F584B"/>
    <w:pPr>
      <w:tabs>
        <w:tab w:val="center" w:pos="4680"/>
        <w:tab w:val="right" w:pos="9360"/>
      </w:tabs>
      <w:jc w:val="right"/>
    </w:pPr>
  </w:style>
  <w:style w:type="character" w:customStyle="1" w:styleId="HeaderChar">
    <w:name w:val="Header Char"/>
    <w:basedOn w:val="DefaultParagraphFont"/>
    <w:link w:val="Header"/>
    <w:uiPriority w:val="99"/>
    <w:rsid w:val="007F584B"/>
  </w:style>
  <w:style w:type="paragraph" w:styleId="Signature">
    <w:name w:val="Signature"/>
    <w:basedOn w:val="Normal"/>
    <w:link w:val="SignatureChar"/>
    <w:uiPriority w:val="1"/>
    <w:rsid w:val="006E67C4"/>
    <w:pPr>
      <w:pBdr>
        <w:top w:val="single" w:sz="2" w:space="1" w:color="auto"/>
      </w:pBdr>
      <w:spacing w:after="360"/>
      <w:jc w:val="center"/>
    </w:pPr>
    <w:rPr>
      <w:sz w:val="16"/>
      <w:szCs w:val="16"/>
    </w:rPr>
  </w:style>
  <w:style w:type="character" w:customStyle="1" w:styleId="SignatureChar">
    <w:name w:val="Signature Char"/>
    <w:basedOn w:val="DefaultParagraphFont"/>
    <w:link w:val="Signature"/>
    <w:uiPriority w:val="1"/>
    <w:rsid w:val="006E67C4"/>
    <w:rPr>
      <w:kern w:val="0"/>
      <w:sz w:val="16"/>
      <w:szCs w:val="16"/>
    </w:rPr>
  </w:style>
  <w:style w:type="paragraph" w:customStyle="1" w:styleId="Sign-off">
    <w:name w:val="Sign-off"/>
    <w:basedOn w:val="Normal"/>
    <w:uiPriority w:val="1"/>
    <w:rsid w:val="007F584B"/>
    <w:pPr>
      <w:jc w:val="center"/>
    </w:pPr>
    <w:rPr>
      <w:sz w:val="20"/>
      <w:szCs w:val="20"/>
    </w:rPr>
  </w:style>
  <w:style w:type="paragraph" w:customStyle="1" w:styleId="Rightalign">
    <w:name w:val="Right align"/>
    <w:basedOn w:val="Normal"/>
    <w:uiPriority w:val="1"/>
    <w:rsid w:val="007F584B"/>
    <w:pPr>
      <w:jc w:val="right"/>
    </w:pPr>
  </w:style>
  <w:style w:type="table" w:customStyle="1" w:styleId="TableauGrille1Clair-Accentuation21">
    <w:name w:val="Tableau Grille 1 Clair - Accentuation 21"/>
    <w:basedOn w:val="TableNormal"/>
    <w:uiPriority w:val="46"/>
    <w:rsid w:val="007F584B"/>
    <w:pPr>
      <w:spacing w:after="0" w:line="240" w:lineRule="auto"/>
    </w:pPr>
    <w:tblPr>
      <w:tblStyleRowBandSize w:val="1"/>
      <w:tblStyleColBandSize w:val="1"/>
      <w:tblBorders>
        <w:top w:val="single" w:sz="4" w:space="0" w:color="B2B2B2" w:themeColor="accent2" w:themeTint="66"/>
        <w:left w:val="single" w:sz="4" w:space="0" w:color="B2B2B2" w:themeColor="accent2" w:themeTint="66"/>
        <w:bottom w:val="single" w:sz="4" w:space="0" w:color="B2B2B2" w:themeColor="accent2" w:themeTint="66"/>
        <w:right w:val="single" w:sz="4" w:space="0" w:color="B2B2B2" w:themeColor="accent2" w:themeTint="66"/>
        <w:insideH w:val="single" w:sz="4" w:space="0" w:color="B2B2B2" w:themeColor="accent2" w:themeTint="66"/>
        <w:insideV w:val="single" w:sz="4" w:space="0" w:color="B2B2B2" w:themeColor="accent2" w:themeTint="66"/>
      </w:tblBorders>
    </w:tblPr>
    <w:tblStylePr w:type="firstRow">
      <w:rPr>
        <w:b/>
        <w:bCs/>
      </w:rPr>
      <w:tblPr/>
      <w:tcPr>
        <w:tcBorders>
          <w:bottom w:val="single" w:sz="12" w:space="0" w:color="8B8B8B" w:themeColor="accent2" w:themeTint="99"/>
        </w:tcBorders>
      </w:tcPr>
    </w:tblStylePr>
    <w:tblStylePr w:type="lastRow">
      <w:rPr>
        <w:b/>
        <w:bCs/>
      </w:rPr>
      <w:tblPr/>
      <w:tcPr>
        <w:tcBorders>
          <w:top w:val="double" w:sz="2" w:space="0" w:color="8B8B8B"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7F584B"/>
    <w:pPr>
      <w:numPr>
        <w:numId w:val="1"/>
      </w:numPr>
      <w:ind w:left="432"/>
      <w:contextualSpacing/>
    </w:pPr>
  </w:style>
  <w:style w:type="character" w:styleId="IntenseEmphasis">
    <w:name w:val="Intense Emphasis"/>
    <w:basedOn w:val="DefaultParagraphFont"/>
    <w:uiPriority w:val="21"/>
    <w:qFormat/>
    <w:rsid w:val="000B03EB"/>
    <w:rPr>
      <w:b/>
      <w:bCs/>
      <w:i/>
      <w:iCs/>
      <w:caps w:val="0"/>
      <w:smallCaps w:val="0"/>
      <w:strike w:val="0"/>
      <w:dstrike w:val="0"/>
      <w:color w:val="3F3F3F" w:themeColor="accent2"/>
    </w:rPr>
  </w:style>
  <w:style w:type="paragraph" w:styleId="IntenseQuote">
    <w:name w:val="Intense Quote"/>
    <w:basedOn w:val="Normal"/>
    <w:next w:val="Normal"/>
    <w:link w:val="IntenseQuoteChar"/>
    <w:uiPriority w:val="30"/>
    <w:qFormat/>
    <w:rsid w:val="000B03EB"/>
    <w:pPr>
      <w:pBdr>
        <w:top w:val="single" w:sz="24" w:space="4" w:color="3F3F3F"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B03EB"/>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0B03EB"/>
    <w:rPr>
      <w:b/>
      <w:bCs/>
      <w:caps w:val="0"/>
      <w:smallCaps/>
      <w:color w:val="auto"/>
      <w:spacing w:val="0"/>
      <w:u w:val="single"/>
    </w:rPr>
  </w:style>
  <w:style w:type="paragraph" w:styleId="BlockText">
    <w:name w:val="Block Text"/>
    <w:basedOn w:val="Normal"/>
    <w:uiPriority w:val="99"/>
    <w:semiHidden/>
    <w:unhideWhenUsed/>
    <w:rsid w:val="005A54FA"/>
    <w:pPr>
      <w:pBdr>
        <w:top w:val="single" w:sz="2" w:space="10" w:color="1F1F1F" w:themeColor="accent1" w:themeShade="80"/>
        <w:left w:val="single" w:sz="2" w:space="10" w:color="1F1F1F" w:themeColor="accent1" w:themeShade="80"/>
        <w:bottom w:val="single" w:sz="2" w:space="10" w:color="1F1F1F" w:themeColor="accent1" w:themeShade="80"/>
        <w:right w:val="single" w:sz="2" w:space="10" w:color="1F1F1F" w:themeColor="accent1" w:themeShade="80"/>
      </w:pBdr>
      <w:ind w:left="1152" w:right="1152"/>
    </w:pPr>
    <w:rPr>
      <w:i/>
      <w:iCs/>
      <w:color w:val="1F1F1F" w:themeColor="accent1" w:themeShade="80"/>
    </w:rPr>
  </w:style>
  <w:style w:type="character" w:styleId="Hyperlink">
    <w:name w:val="Hyperlink"/>
    <w:basedOn w:val="DefaultParagraphFont"/>
    <w:uiPriority w:val="99"/>
    <w:unhideWhenUsed/>
    <w:rsid w:val="005A54FA"/>
    <w:rPr>
      <w:color w:val="215D4B" w:themeColor="accent4" w:themeShade="80"/>
      <w:u w:val="single"/>
    </w:rPr>
  </w:style>
  <w:style w:type="character" w:customStyle="1" w:styleId="UnresolvedMention1">
    <w:name w:val="Unresolved Mention1"/>
    <w:basedOn w:val="DefaultParagraphFont"/>
    <w:uiPriority w:val="99"/>
    <w:semiHidden/>
    <w:unhideWhenUsed/>
    <w:rsid w:val="005A54FA"/>
    <w:rPr>
      <w:color w:val="595959" w:themeColor="text1" w:themeTint="A6"/>
      <w:shd w:val="clear" w:color="auto" w:fill="E6E6E6"/>
    </w:rPr>
  </w:style>
  <w:style w:type="character" w:styleId="Emphasis">
    <w:name w:val="Emphasis"/>
    <w:basedOn w:val="DefaultParagraphFont"/>
    <w:uiPriority w:val="20"/>
    <w:qFormat/>
    <w:rsid w:val="000B03EB"/>
    <w:rPr>
      <w:i/>
      <w:iCs/>
      <w:color w:val="000000" w:themeColor="text1"/>
    </w:rPr>
  </w:style>
  <w:style w:type="paragraph" w:customStyle="1" w:styleId="Text1">
    <w:name w:val="Text 1"/>
    <w:basedOn w:val="Normal"/>
    <w:rsid w:val="000D3084"/>
    <w:pPr>
      <w:spacing w:after="120"/>
      <w:jc w:val="both"/>
    </w:pPr>
    <w:rPr>
      <w:rFonts w:ascii="Times New Roman" w:eastAsia="Times New Roman" w:hAnsi="Times New Roman" w:cs="Times New Roman"/>
      <w:szCs w:val="20"/>
      <w:lang w:val="en-GB" w:eastAsia="en-US"/>
    </w:rPr>
  </w:style>
  <w:style w:type="paragraph" w:customStyle="1" w:styleId="Text2">
    <w:name w:val="Text 2"/>
    <w:basedOn w:val="Normal"/>
    <w:rsid w:val="000D3084"/>
    <w:pPr>
      <w:spacing w:after="120"/>
      <w:jc w:val="both"/>
    </w:pPr>
    <w:rPr>
      <w:rFonts w:ascii="Times New Roman" w:eastAsia="Times New Roman" w:hAnsi="Times New Roman" w:cs="Times New Roman"/>
      <w:szCs w:val="20"/>
      <w:lang w:val="en-GB" w:eastAsia="en-US"/>
    </w:rPr>
  </w:style>
  <w:style w:type="paragraph" w:customStyle="1" w:styleId="ZDGName">
    <w:name w:val="Z_DGName"/>
    <w:basedOn w:val="Normal"/>
    <w:uiPriority w:val="99"/>
    <w:rsid w:val="000D3084"/>
    <w:pPr>
      <w:widowControl w:val="0"/>
      <w:autoSpaceDE w:val="0"/>
      <w:autoSpaceDN w:val="0"/>
      <w:ind w:right="85"/>
    </w:pPr>
    <w:rPr>
      <w:rFonts w:ascii="Arial" w:hAnsi="Arial" w:cs="Arial"/>
      <w:sz w:val="16"/>
      <w:szCs w:val="16"/>
      <w:lang w:val="en-GB" w:eastAsia="en-GB"/>
    </w:rPr>
  </w:style>
  <w:style w:type="table" w:customStyle="1" w:styleId="TableGrid7">
    <w:name w:val="Table Grid7"/>
    <w:basedOn w:val="TableNormal"/>
    <w:uiPriority w:val="59"/>
    <w:rsid w:val="000D3084"/>
    <w:pPr>
      <w:spacing w:after="0" w:line="240" w:lineRule="auto"/>
    </w:pPr>
    <w:rPr>
      <w:rFonts w:ascii="Calibri" w:eastAsia="Calibri" w:hAnsi="Calibri"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D3084"/>
    <w:pPr>
      <w:spacing w:after="100"/>
    </w:pPr>
  </w:style>
  <w:style w:type="paragraph" w:styleId="TOC2">
    <w:name w:val="toc 2"/>
    <w:basedOn w:val="Normal"/>
    <w:next w:val="Normal"/>
    <w:autoRedefine/>
    <w:uiPriority w:val="39"/>
    <w:unhideWhenUsed/>
    <w:rsid w:val="000D3084"/>
    <w:pPr>
      <w:spacing w:after="100"/>
      <w:ind w:left="220"/>
    </w:pPr>
  </w:style>
  <w:style w:type="table" w:customStyle="1" w:styleId="Tableausimple11">
    <w:name w:val="Tableau simple 11"/>
    <w:basedOn w:val="TableNormal"/>
    <w:uiPriority w:val="41"/>
    <w:rsid w:val="000B03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0B03EB"/>
    <w:rPr>
      <w:b/>
      <w:bCs/>
    </w:rPr>
  </w:style>
  <w:style w:type="paragraph" w:styleId="NoSpacing">
    <w:name w:val="No Spacing"/>
    <w:uiPriority w:val="1"/>
    <w:qFormat/>
    <w:rsid w:val="000B03EB"/>
    <w:pPr>
      <w:spacing w:after="0" w:line="240" w:lineRule="auto"/>
    </w:pPr>
  </w:style>
  <w:style w:type="paragraph" w:styleId="Quote">
    <w:name w:val="Quote"/>
    <w:basedOn w:val="Normal"/>
    <w:next w:val="Normal"/>
    <w:link w:val="QuoteChar"/>
    <w:uiPriority w:val="29"/>
    <w:qFormat/>
    <w:rsid w:val="000B03E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B03EB"/>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0B03EB"/>
    <w:rPr>
      <w:i/>
      <w:iCs/>
      <w:color w:val="595959" w:themeColor="text1" w:themeTint="A6"/>
    </w:rPr>
  </w:style>
  <w:style w:type="character" w:styleId="SubtleReference">
    <w:name w:val="Subtle Reference"/>
    <w:basedOn w:val="DefaultParagraphFont"/>
    <w:uiPriority w:val="31"/>
    <w:qFormat/>
    <w:rsid w:val="000B03EB"/>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0B03EB"/>
    <w:rPr>
      <w:b/>
      <w:bCs/>
      <w:caps w:val="0"/>
      <w:smallCaps/>
      <w:spacing w:val="0"/>
    </w:rPr>
  </w:style>
  <w:style w:type="paragraph" w:styleId="BalloonText">
    <w:name w:val="Balloon Text"/>
    <w:basedOn w:val="Normal"/>
    <w:link w:val="BalloonTextChar"/>
    <w:uiPriority w:val="99"/>
    <w:semiHidden/>
    <w:unhideWhenUsed/>
    <w:rsid w:val="00001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9DB"/>
    <w:rPr>
      <w:rFonts w:ascii="Tahoma" w:hAnsi="Tahoma" w:cs="Tahoma"/>
      <w:sz w:val="16"/>
      <w:szCs w:val="16"/>
    </w:rPr>
  </w:style>
  <w:style w:type="paragraph" w:styleId="ListParagraph">
    <w:name w:val="List Paragraph"/>
    <w:basedOn w:val="Normal"/>
    <w:uiPriority w:val="34"/>
    <w:qFormat/>
    <w:rsid w:val="00202C47"/>
    <w:pPr>
      <w:ind w:left="720"/>
      <w:contextualSpacing/>
    </w:pPr>
  </w:style>
  <w:style w:type="character" w:styleId="CommentReference">
    <w:name w:val="annotation reference"/>
    <w:basedOn w:val="DefaultParagraphFont"/>
    <w:uiPriority w:val="99"/>
    <w:semiHidden/>
    <w:unhideWhenUsed/>
    <w:rsid w:val="00B70A18"/>
    <w:rPr>
      <w:sz w:val="16"/>
      <w:szCs w:val="16"/>
    </w:rPr>
  </w:style>
  <w:style w:type="paragraph" w:customStyle="1" w:styleId="Commentaire1">
    <w:name w:val="Commentaire1"/>
    <w:basedOn w:val="Normal"/>
    <w:next w:val="CommentText"/>
    <w:link w:val="CommentaireCar"/>
    <w:uiPriority w:val="99"/>
    <w:semiHidden/>
    <w:unhideWhenUsed/>
    <w:rsid w:val="00B70A18"/>
    <w:pPr>
      <w:spacing w:line="240" w:lineRule="auto"/>
    </w:pPr>
    <w:rPr>
      <w:sz w:val="20"/>
      <w:szCs w:val="20"/>
    </w:rPr>
  </w:style>
  <w:style w:type="paragraph" w:styleId="CommentText">
    <w:name w:val="annotation text"/>
    <w:basedOn w:val="Normal"/>
    <w:link w:val="CommentTextChar"/>
    <w:uiPriority w:val="99"/>
    <w:semiHidden/>
    <w:unhideWhenUsed/>
    <w:rsid w:val="00B70A18"/>
    <w:pPr>
      <w:spacing w:line="240" w:lineRule="auto"/>
    </w:pPr>
    <w:rPr>
      <w:sz w:val="20"/>
      <w:szCs w:val="20"/>
    </w:rPr>
  </w:style>
  <w:style w:type="character" w:customStyle="1" w:styleId="CommentTextChar">
    <w:name w:val="Comment Text Char"/>
    <w:basedOn w:val="DefaultParagraphFont"/>
    <w:link w:val="CommentText"/>
    <w:uiPriority w:val="99"/>
    <w:semiHidden/>
    <w:rsid w:val="00B70A18"/>
    <w:rPr>
      <w:sz w:val="20"/>
      <w:szCs w:val="20"/>
    </w:rPr>
  </w:style>
  <w:style w:type="character" w:customStyle="1" w:styleId="CommentaireCar">
    <w:name w:val="Commentaire Car"/>
    <w:basedOn w:val="DefaultParagraphFont"/>
    <w:link w:val="Commentaire1"/>
    <w:uiPriority w:val="99"/>
    <w:semiHidden/>
    <w:rsid w:val="00B70A18"/>
    <w:rPr>
      <w:sz w:val="20"/>
      <w:szCs w:val="20"/>
    </w:rPr>
  </w:style>
  <w:style w:type="paragraph" w:styleId="FootnoteText">
    <w:name w:val="footnote text"/>
    <w:basedOn w:val="Normal"/>
    <w:link w:val="FootnoteTextChar"/>
    <w:uiPriority w:val="99"/>
    <w:semiHidden/>
    <w:unhideWhenUsed/>
    <w:rsid w:val="007D4C39"/>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7D4C39"/>
    <w:rPr>
      <w:sz w:val="20"/>
      <w:szCs w:val="20"/>
      <w:lang w:val="en-GB"/>
    </w:rPr>
  </w:style>
  <w:style w:type="character" w:styleId="FootnoteReference">
    <w:name w:val="footnote reference"/>
    <w:basedOn w:val="DefaultParagraphFont"/>
    <w:uiPriority w:val="99"/>
    <w:semiHidden/>
    <w:unhideWhenUsed/>
    <w:rsid w:val="007D4C39"/>
    <w:rPr>
      <w:vertAlign w:val="superscript"/>
    </w:rPr>
  </w:style>
  <w:style w:type="paragraph" w:styleId="CommentSubject">
    <w:name w:val="annotation subject"/>
    <w:basedOn w:val="CommentText"/>
    <w:next w:val="CommentText"/>
    <w:link w:val="CommentSubjectChar"/>
    <w:uiPriority w:val="99"/>
    <w:semiHidden/>
    <w:unhideWhenUsed/>
    <w:rsid w:val="008003C6"/>
    <w:rPr>
      <w:b/>
      <w:bCs/>
    </w:rPr>
  </w:style>
  <w:style w:type="character" w:customStyle="1" w:styleId="CommentSubjectChar">
    <w:name w:val="Comment Subject Char"/>
    <w:basedOn w:val="CommentTextChar"/>
    <w:link w:val="CommentSubject"/>
    <w:uiPriority w:val="99"/>
    <w:semiHidden/>
    <w:rsid w:val="008003C6"/>
    <w:rPr>
      <w:b/>
      <w:bCs/>
      <w:sz w:val="20"/>
      <w:szCs w:val="20"/>
    </w:rPr>
  </w:style>
  <w:style w:type="paragraph" w:customStyle="1" w:styleId="Default">
    <w:name w:val="Default"/>
    <w:rsid w:val="005F02D6"/>
    <w:pPr>
      <w:autoSpaceDE w:val="0"/>
      <w:autoSpaceDN w:val="0"/>
      <w:adjustRightInd w:val="0"/>
      <w:spacing w:after="0" w:line="240" w:lineRule="auto"/>
    </w:pPr>
    <w:rPr>
      <w:rFonts w:ascii="Calibri" w:eastAsiaTheme="minorHAnsi" w:hAnsi="Calibri" w:cs="Calibri"/>
      <w:color w:val="000000"/>
      <w:sz w:val="24"/>
      <w:szCs w:val="24"/>
      <w:lang w:val="nl-BE" w:eastAsia="en-US"/>
    </w:rPr>
  </w:style>
  <w:style w:type="paragraph" w:customStyle="1" w:styleId="yiv9658051267msonormal">
    <w:name w:val="yiv9658051267msonormal"/>
    <w:basedOn w:val="Normal"/>
    <w:rsid w:val="005F02D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ody">
    <w:name w:val="Body"/>
    <w:qFormat/>
    <w:rsid w:val="0069714F"/>
    <w:pPr>
      <w:spacing w:after="90" w:line="240" w:lineRule="auto"/>
    </w:pPr>
    <w:rPr>
      <w:rFonts w:ascii="Minion Pro" w:eastAsia="Times New Roman" w:hAnsi="Minion Pro" w:cs="Minion Pro"/>
      <w:sz w:val="22"/>
      <w:szCs w:val="20"/>
      <w:lang w:val="en-GB" w:eastAsia="fr-FR"/>
    </w:rPr>
  </w:style>
  <w:style w:type="paragraph" w:customStyle="1" w:styleId="H4">
    <w:name w:val="H4"/>
    <w:next w:val="Normal"/>
    <w:qFormat/>
    <w:rsid w:val="0069714F"/>
    <w:pPr>
      <w:tabs>
        <w:tab w:val="left" w:pos="920"/>
      </w:tabs>
      <w:spacing w:before="80" w:after="60" w:line="240" w:lineRule="auto"/>
    </w:pPr>
    <w:rPr>
      <w:rFonts w:ascii="Myriad Pro" w:eastAsia="Times New Roman" w:hAnsi="Myriad Pro" w:cs="Myriad Pro"/>
      <w:sz w:val="20"/>
      <w:szCs w:val="20"/>
      <w:lang w:val="en-GB" w:eastAsia="fr-FR"/>
    </w:rPr>
  </w:style>
  <w:style w:type="paragraph" w:customStyle="1" w:styleId="TableHeadingText">
    <w:name w:val="TableHeadingText"/>
    <w:qFormat/>
    <w:rsid w:val="0069714F"/>
    <w:pPr>
      <w:spacing w:after="90" w:line="240" w:lineRule="auto"/>
    </w:pPr>
    <w:rPr>
      <w:rFonts w:ascii="Myriad Pro Cond" w:eastAsia="Times New Roman" w:hAnsi="Myriad Pro Cond" w:cs="Myriad Pro Cond"/>
      <w:b/>
      <w:sz w:val="20"/>
      <w:szCs w:val="20"/>
      <w:lang w:val="en-GB" w:eastAsia="fr-FR"/>
    </w:rPr>
  </w:style>
  <w:style w:type="paragraph" w:customStyle="1" w:styleId="TableFooterText">
    <w:name w:val="TableFooterText"/>
    <w:qFormat/>
    <w:rsid w:val="0069714F"/>
    <w:pPr>
      <w:tabs>
        <w:tab w:val="left" w:pos="180"/>
      </w:tabs>
      <w:spacing w:after="0" w:line="240" w:lineRule="auto"/>
      <w:ind w:left="180" w:hanging="180"/>
    </w:pPr>
    <w:rPr>
      <w:rFonts w:ascii="Myriad Pro Cond" w:eastAsia="Times New Roman" w:hAnsi="Myriad Pro Cond" w:cs="Myriad Pro Cond"/>
      <w:sz w:val="17"/>
      <w:szCs w:val="20"/>
      <w:lang w:val="en-GB" w:eastAsia="fr-FR"/>
    </w:rPr>
  </w:style>
  <w:style w:type="paragraph" w:customStyle="1" w:styleId="TableCellText">
    <w:name w:val="TableCellText"/>
    <w:qFormat/>
    <w:rsid w:val="0069714F"/>
    <w:pPr>
      <w:spacing w:after="90" w:line="240" w:lineRule="auto"/>
    </w:pPr>
    <w:rPr>
      <w:rFonts w:ascii="Myriad Pro Cond" w:eastAsia="Times New Roman" w:hAnsi="Myriad Pro Cond" w:cs="Myriad Pro Cond"/>
      <w:sz w:val="20"/>
      <w:szCs w:val="20"/>
      <w:lang w:val="en-GB" w:eastAsia="fr-FR"/>
    </w:rPr>
  </w:style>
  <w:style w:type="paragraph" w:customStyle="1" w:styleId="TableTitle">
    <w:name w:val="Table Title"/>
    <w:qFormat/>
    <w:rsid w:val="0069714F"/>
    <w:pPr>
      <w:spacing w:before="180" w:after="90" w:line="240" w:lineRule="auto"/>
      <w:jc w:val="center"/>
    </w:pPr>
    <w:rPr>
      <w:rFonts w:ascii="Myriad Pro" w:eastAsia="Times New Roman" w:hAnsi="Myriad Pro" w:cs="Myriad Pro"/>
      <w:b/>
      <w:sz w:val="22"/>
      <w:szCs w:val="20"/>
      <w:lang w:val="en-GB" w:eastAsia="fr-FR"/>
    </w:rPr>
  </w:style>
  <w:style w:type="paragraph" w:customStyle="1" w:styleId="Bullet01">
    <w:name w:val="Bullet01"/>
    <w:qFormat/>
    <w:rsid w:val="0069714F"/>
    <w:pPr>
      <w:numPr>
        <w:numId w:val="2"/>
      </w:numPr>
      <w:spacing w:after="90" w:line="240" w:lineRule="auto"/>
    </w:pPr>
    <w:rPr>
      <w:rFonts w:ascii="Minion Pro" w:eastAsia="Times New Roman" w:hAnsi="Minion Pro" w:cs="Minion Pro"/>
      <w:sz w:val="22"/>
      <w:szCs w:val="20"/>
      <w:lang w:val="en-GB" w:eastAsia="fr-FR"/>
    </w:rPr>
  </w:style>
  <w:style w:type="paragraph" w:customStyle="1" w:styleId="H2">
    <w:name w:val="H2"/>
    <w:next w:val="Normal"/>
    <w:qFormat/>
    <w:rsid w:val="0069714F"/>
    <w:pPr>
      <w:tabs>
        <w:tab w:val="left" w:pos="920"/>
      </w:tabs>
      <w:spacing w:before="120" w:after="60" w:line="240" w:lineRule="auto"/>
    </w:pPr>
    <w:rPr>
      <w:rFonts w:ascii="Myriad Pro Light" w:eastAsia="Times New Roman" w:hAnsi="Myriad Pro Light" w:cs="Myriad Pro Light"/>
      <w:b/>
      <w:sz w:val="24"/>
      <w:szCs w:val="20"/>
      <w:lang w:val="fr-FR" w:eastAsia="fr-FR"/>
    </w:rPr>
  </w:style>
  <w:style w:type="character" w:customStyle="1" w:styleId="Italic">
    <w:name w:val="Italic"/>
    <w:qFormat/>
    <w:rsid w:val="0069714F"/>
    <w:rPr>
      <w:i/>
    </w:rPr>
  </w:style>
  <w:style w:type="character" w:customStyle="1" w:styleId="CondensedItalic">
    <w:name w:val="Condensed Italic"/>
    <w:qFormat/>
    <w:rsid w:val="0069714F"/>
    <w:rPr>
      <w:i/>
    </w:rPr>
  </w:style>
  <w:style w:type="character" w:customStyle="1" w:styleId="SuperscriptCondensedItalic">
    <w:name w:val="Superscript Condensed Italic"/>
    <w:qFormat/>
    <w:rsid w:val="0069714F"/>
    <w:rPr>
      <w:i/>
      <w:vertAlign w:val="superscript"/>
    </w:rPr>
  </w:style>
  <w:style w:type="table" w:customStyle="1" w:styleId="TS2015">
    <w:name w:val="TS_2015"/>
    <w:basedOn w:val="TableNormal"/>
    <w:qFormat/>
    <w:rsid w:val="0069714F"/>
    <w:pPr>
      <w:spacing w:after="0" w:line="240" w:lineRule="auto"/>
    </w:pPr>
    <w:rPr>
      <w:rFonts w:ascii="Minion Pro" w:eastAsia="Times New Roman" w:hAnsi="Minion Pro" w:cs="Minion Pro"/>
      <w:sz w:val="24"/>
      <w:szCs w:val="20"/>
      <w:lang w:val="fr-FR" w:eastAsia="fr-FR"/>
    </w:rPr>
    <w:tblPr>
      <w:tblBorders>
        <w:top w:val="single" w:sz="0" w:space="0" w:color="auto"/>
        <w:left w:val="single" w:sz="0" w:space="0" w:color="auto"/>
        <w:bottom w:val="single" w:sz="0" w:space="0" w:color="auto"/>
        <w:right w:val="single" w:sz="0" w:space="0" w:color="auto"/>
      </w:tblBorders>
    </w:tblPr>
  </w:style>
  <w:style w:type="character" w:customStyle="1" w:styleId="Superscript">
    <w:name w:val="Superscript"/>
    <w:qFormat/>
    <w:rsid w:val="0069714F"/>
    <w:rPr>
      <w:vertAlign w:val="superscript"/>
    </w:rPr>
  </w:style>
  <w:style w:type="paragraph" w:customStyle="1" w:styleId="H3">
    <w:name w:val="H3"/>
    <w:next w:val="Normal"/>
    <w:qFormat/>
    <w:rsid w:val="006757F5"/>
    <w:pPr>
      <w:tabs>
        <w:tab w:val="left" w:pos="460"/>
      </w:tabs>
      <w:spacing w:before="80" w:after="60" w:line="240" w:lineRule="auto"/>
      <w:ind w:left="439" w:hanging="439"/>
    </w:pPr>
    <w:rPr>
      <w:rFonts w:ascii="Myriad Pro" w:eastAsia="Times New Roman" w:hAnsi="Myriad Pro" w:cs="Myriad Pro"/>
      <w:i/>
      <w:sz w:val="24"/>
      <w:szCs w:val="20"/>
      <w:lang w:val="en-GB" w:eastAsia="fr-FR"/>
    </w:rPr>
  </w:style>
  <w:style w:type="character" w:customStyle="1" w:styleId="Subscript">
    <w:name w:val="Subscript"/>
    <w:qFormat/>
    <w:rsid w:val="006757F5"/>
    <w:rPr>
      <w:vertAlign w:val="baseline"/>
    </w:rPr>
  </w:style>
  <w:style w:type="paragraph" w:customStyle="1" w:styleId="H1">
    <w:name w:val="H1"/>
    <w:next w:val="Normal"/>
    <w:qFormat/>
    <w:rsid w:val="006757F5"/>
    <w:pPr>
      <w:tabs>
        <w:tab w:val="left" w:pos="920"/>
      </w:tabs>
      <w:spacing w:before="120" w:after="60" w:line="240" w:lineRule="auto"/>
    </w:pPr>
    <w:rPr>
      <w:rFonts w:ascii="Myriad Pro Light" w:eastAsia="Times New Roman" w:hAnsi="Myriad Pro Light" w:cs="Myriad Pro Light"/>
      <w:b/>
      <w:sz w:val="26"/>
      <w:szCs w:val="20"/>
      <w:lang w:val="en-GB" w:eastAsia="fr-FR"/>
    </w:rPr>
  </w:style>
  <w:style w:type="paragraph" w:customStyle="1" w:styleId="Normal2">
    <w:name w:val="Normal2"/>
    <w:basedOn w:val="Normal"/>
    <w:link w:val="Normal2Car"/>
    <w:qFormat/>
    <w:rsid w:val="00482634"/>
    <w:pPr>
      <w:spacing w:after="0"/>
      <w:jc w:val="both"/>
    </w:pPr>
    <w:rPr>
      <w:rFonts w:ascii="Arial" w:hAnsi="Arial" w:cs="Arial"/>
      <w:color w:val="335B74" w:themeColor="text2"/>
      <w:sz w:val="20"/>
      <w:szCs w:val="20"/>
      <w:lang w:val="en-GB"/>
    </w:rPr>
  </w:style>
  <w:style w:type="character" w:customStyle="1" w:styleId="Normal2Car">
    <w:name w:val="Normal2 Car"/>
    <w:basedOn w:val="DefaultParagraphFont"/>
    <w:link w:val="Normal2"/>
    <w:rsid w:val="00482634"/>
    <w:rPr>
      <w:rFonts w:ascii="Arial" w:hAnsi="Arial" w:cs="Arial"/>
      <w:color w:val="335B74" w:themeColor="text2"/>
      <w:sz w:val="20"/>
      <w:szCs w:val="20"/>
      <w:lang w:val="en-GB"/>
    </w:rPr>
  </w:style>
  <w:style w:type="paragraph" w:styleId="TOC3">
    <w:name w:val="toc 3"/>
    <w:basedOn w:val="Normal"/>
    <w:next w:val="Normal"/>
    <w:autoRedefine/>
    <w:uiPriority w:val="39"/>
    <w:unhideWhenUsed/>
    <w:rsid w:val="00BD1FDA"/>
    <w:pPr>
      <w:spacing w:after="100"/>
      <w:ind w:left="420"/>
    </w:pPr>
  </w:style>
  <w:style w:type="character" w:customStyle="1" w:styleId="tlid-translation">
    <w:name w:val="tlid-translation"/>
    <w:basedOn w:val="DefaultParagraphFont"/>
    <w:rsid w:val="001716CE"/>
  </w:style>
  <w:style w:type="character" w:customStyle="1" w:styleId="Style2Car">
    <w:name w:val="Style2 Car"/>
    <w:basedOn w:val="DefaultParagraphFont"/>
    <w:link w:val="Style2"/>
    <w:locked/>
    <w:rsid w:val="001716CE"/>
    <w:rPr>
      <w:rFonts w:ascii="Arial" w:hAnsi="Arial" w:cs="Arial"/>
      <w:b/>
      <w:i/>
    </w:rPr>
  </w:style>
  <w:style w:type="paragraph" w:customStyle="1" w:styleId="Style2">
    <w:name w:val="Style2"/>
    <w:basedOn w:val="Normal"/>
    <w:link w:val="Style2Car"/>
    <w:qFormat/>
    <w:rsid w:val="001716CE"/>
    <w:pPr>
      <w:spacing w:after="0" w:line="240" w:lineRule="auto"/>
      <w:jc w:val="both"/>
    </w:pPr>
    <w:rPr>
      <w:rFonts w:ascii="Arial" w:hAnsi="Arial" w:cs="Arial"/>
      <w:b/>
      <w:i/>
    </w:rPr>
  </w:style>
  <w:style w:type="paragraph" w:styleId="NormalWeb">
    <w:name w:val="Normal (Web)"/>
    <w:basedOn w:val="Normal"/>
    <w:uiPriority w:val="99"/>
    <w:semiHidden/>
    <w:unhideWhenUsed/>
    <w:rsid w:val="001524C9"/>
    <w:pPr>
      <w:spacing w:before="100" w:beforeAutospacing="1" w:after="100" w:afterAutospacing="1" w:line="240" w:lineRule="auto"/>
    </w:pPr>
    <w:rPr>
      <w:rFonts w:ascii="Times New Roman" w:hAnsi="Times New Roman" w:cs="Times New Roman"/>
      <w:color w:val="000000"/>
      <w:sz w:val="24"/>
      <w:szCs w:val="24"/>
      <w:lang w:val="fr-FR" w:eastAsia="fr-FR"/>
    </w:rPr>
  </w:style>
  <w:style w:type="character" w:customStyle="1" w:styleId="A10">
    <w:name w:val="A10"/>
    <w:uiPriority w:val="99"/>
    <w:rsid w:val="00E32EA1"/>
    <w:rPr>
      <w:rFonts w:ascii="Gotham Light" w:hAnsi="Gotham Light" w:cs="Gotham Light"/>
      <w:color w:val="000000"/>
      <w:sz w:val="18"/>
      <w:szCs w:val="18"/>
    </w:rPr>
  </w:style>
  <w:style w:type="paragraph" w:customStyle="1" w:styleId="Pa8">
    <w:name w:val="Pa8"/>
    <w:basedOn w:val="Default"/>
    <w:next w:val="Default"/>
    <w:uiPriority w:val="99"/>
    <w:rsid w:val="00AA366B"/>
    <w:pPr>
      <w:spacing w:line="181" w:lineRule="atLeast"/>
    </w:pPr>
    <w:rPr>
      <w:rFonts w:ascii="Gotham Light" w:eastAsiaTheme="minorEastAsia" w:hAnsi="Gotham Light" w:cstheme="minorBidi"/>
      <w:color w:val="auto"/>
      <w:lang w:val="es-ES" w:eastAsia="ja-JP"/>
    </w:rPr>
  </w:style>
  <w:style w:type="character" w:customStyle="1" w:styleId="A4">
    <w:name w:val="A4"/>
    <w:uiPriority w:val="99"/>
    <w:rsid w:val="00AA366B"/>
    <w:rPr>
      <w:rFonts w:cs="Gotham Light"/>
      <w:color w:val="000000"/>
      <w:sz w:val="16"/>
      <w:szCs w:val="16"/>
    </w:rPr>
  </w:style>
  <w:style w:type="character" w:customStyle="1" w:styleId="A9">
    <w:name w:val="A9"/>
    <w:uiPriority w:val="99"/>
    <w:rsid w:val="00E53CF2"/>
    <w:rPr>
      <w:rFonts w:ascii="Gotham Book" w:hAnsi="Gotham Book" w:cs="Gotham Book"/>
      <w:color w:val="000000"/>
      <w:sz w:val="18"/>
      <w:szCs w:val="18"/>
      <w:u w:val="single"/>
    </w:rPr>
  </w:style>
  <w:style w:type="paragraph" w:customStyle="1" w:styleId="Pa10">
    <w:name w:val="Pa10"/>
    <w:basedOn w:val="Default"/>
    <w:next w:val="Default"/>
    <w:uiPriority w:val="99"/>
    <w:rsid w:val="001D4519"/>
    <w:pPr>
      <w:spacing w:line="181" w:lineRule="atLeast"/>
    </w:pPr>
    <w:rPr>
      <w:rFonts w:ascii="Gotham Light" w:eastAsiaTheme="minorEastAsia" w:hAnsi="Gotham Light" w:cstheme="minorBidi"/>
      <w:color w:val="auto"/>
      <w:lang w:val="es-ES" w:eastAsia="ja-JP"/>
    </w:rPr>
  </w:style>
  <w:style w:type="paragraph" w:customStyle="1" w:styleId="Pa32">
    <w:name w:val="Pa32"/>
    <w:basedOn w:val="Default"/>
    <w:next w:val="Default"/>
    <w:uiPriority w:val="99"/>
    <w:rsid w:val="003029E4"/>
    <w:pPr>
      <w:spacing w:line="221" w:lineRule="atLeast"/>
    </w:pPr>
    <w:rPr>
      <w:rFonts w:ascii="Gotham Light" w:eastAsiaTheme="minorEastAsia" w:hAnsi="Gotham Light" w:cstheme="minorBidi"/>
      <w:color w:val="auto"/>
      <w:lang w:val="es-ES" w:eastAsia="ja-JP"/>
    </w:rPr>
  </w:style>
  <w:style w:type="paragraph" w:customStyle="1" w:styleId="Pa16">
    <w:name w:val="Pa16"/>
    <w:basedOn w:val="Default"/>
    <w:next w:val="Default"/>
    <w:uiPriority w:val="99"/>
    <w:rsid w:val="003029E4"/>
    <w:pPr>
      <w:spacing w:line="181" w:lineRule="atLeast"/>
    </w:pPr>
    <w:rPr>
      <w:rFonts w:ascii="Gotham Light" w:eastAsiaTheme="minorEastAsia" w:hAnsi="Gotham Light" w:cstheme="minorBidi"/>
      <w:color w:val="auto"/>
      <w:lang w:val="es-ES" w:eastAsia="ja-JP"/>
    </w:rPr>
  </w:style>
  <w:style w:type="paragraph" w:customStyle="1" w:styleId="Pa23">
    <w:name w:val="Pa23"/>
    <w:basedOn w:val="Default"/>
    <w:next w:val="Default"/>
    <w:uiPriority w:val="99"/>
    <w:rsid w:val="0033348D"/>
    <w:pPr>
      <w:spacing w:line="181" w:lineRule="atLeast"/>
    </w:pPr>
    <w:rPr>
      <w:rFonts w:ascii="Gotham Light" w:eastAsiaTheme="minorEastAsia" w:hAnsi="Gotham Light" w:cstheme="minorBidi"/>
      <w:color w:val="auto"/>
      <w:lang w:val="es-ES" w:eastAsia="ja-JP"/>
    </w:rPr>
  </w:style>
  <w:style w:type="character" w:customStyle="1" w:styleId="A7">
    <w:name w:val="A7"/>
    <w:uiPriority w:val="99"/>
    <w:rsid w:val="00F5341A"/>
    <w:rPr>
      <w:rFonts w:cs="Gotham Light"/>
      <w:color w:val="000000"/>
      <w:sz w:val="10"/>
      <w:szCs w:val="10"/>
    </w:rPr>
  </w:style>
  <w:style w:type="paragraph" w:customStyle="1" w:styleId="Pa4">
    <w:name w:val="Pa4"/>
    <w:basedOn w:val="Default"/>
    <w:next w:val="Default"/>
    <w:uiPriority w:val="99"/>
    <w:rsid w:val="00B63C3C"/>
    <w:pPr>
      <w:spacing w:line="181" w:lineRule="atLeast"/>
    </w:pPr>
    <w:rPr>
      <w:rFonts w:ascii="Gotham Light" w:eastAsiaTheme="minorEastAsia" w:hAnsi="Gotham Light" w:cstheme="minorBidi"/>
      <w:color w:val="auto"/>
      <w:lang w:val="es-ES" w:eastAsia="ja-JP"/>
    </w:rPr>
  </w:style>
  <w:style w:type="paragraph" w:customStyle="1" w:styleId="Pa28">
    <w:name w:val="Pa28"/>
    <w:basedOn w:val="Default"/>
    <w:next w:val="Default"/>
    <w:uiPriority w:val="99"/>
    <w:rsid w:val="00B63C3C"/>
    <w:pPr>
      <w:spacing w:line="181" w:lineRule="atLeast"/>
    </w:pPr>
    <w:rPr>
      <w:rFonts w:ascii="Gotham Light" w:eastAsiaTheme="minorEastAsia" w:hAnsi="Gotham Light" w:cstheme="minorBidi"/>
      <w:color w:val="auto"/>
      <w:lang w:val="es-ES" w:eastAsia="ja-JP"/>
    </w:rPr>
  </w:style>
  <w:style w:type="character" w:customStyle="1" w:styleId="A0">
    <w:name w:val="A0"/>
    <w:uiPriority w:val="99"/>
    <w:rsid w:val="00B63C3C"/>
    <w:rPr>
      <w:rFonts w:ascii="Gotham Medium" w:hAnsi="Gotham Medium" w:cs="Gotham Medium"/>
      <w:color w:val="000000"/>
      <w:sz w:val="18"/>
      <w:szCs w:val="18"/>
    </w:rPr>
  </w:style>
  <w:style w:type="paragraph" w:customStyle="1" w:styleId="Pa31">
    <w:name w:val="Pa31"/>
    <w:basedOn w:val="Default"/>
    <w:next w:val="Default"/>
    <w:uiPriority w:val="99"/>
    <w:rsid w:val="00B63C3C"/>
    <w:pPr>
      <w:spacing w:line="221" w:lineRule="atLeast"/>
    </w:pPr>
    <w:rPr>
      <w:rFonts w:ascii="Gotham Medium" w:eastAsiaTheme="minorEastAsia" w:hAnsi="Gotham Medium" w:cstheme="minorBidi"/>
      <w:color w:val="auto"/>
      <w:lang w:val="es-ES" w:eastAsia="ja-JP"/>
    </w:rPr>
  </w:style>
  <w:style w:type="paragraph" w:customStyle="1" w:styleId="Pa15">
    <w:name w:val="Pa15"/>
    <w:basedOn w:val="Default"/>
    <w:next w:val="Default"/>
    <w:uiPriority w:val="99"/>
    <w:rsid w:val="00652F15"/>
    <w:pPr>
      <w:spacing w:line="221" w:lineRule="atLeast"/>
    </w:pPr>
    <w:rPr>
      <w:rFonts w:ascii="Gotham Light" w:eastAsiaTheme="minorEastAsia" w:hAnsi="Gotham Light" w:cstheme="minorBidi"/>
      <w:color w:val="auto"/>
      <w:lang w:val="es-ES" w:eastAsia="ja-JP"/>
    </w:rPr>
  </w:style>
  <w:style w:type="paragraph" w:customStyle="1" w:styleId="CM4">
    <w:name w:val="CM4"/>
    <w:basedOn w:val="Default"/>
    <w:next w:val="Default"/>
    <w:uiPriority w:val="99"/>
    <w:rsid w:val="00764FED"/>
    <w:rPr>
      <w:rFonts w:ascii="Times New Roman" w:hAnsi="Times New Roman" w:cs="Times New Roman"/>
      <w:color w:val="auto"/>
      <w:lang w:val="en-IE"/>
    </w:rPr>
  </w:style>
  <w:style w:type="paragraph" w:customStyle="1" w:styleId="HPRACoverGuidefor">
    <w:name w:val="HPRA_Cover_Guide for"/>
    <w:basedOn w:val="Normal"/>
    <w:qFormat/>
    <w:rsid w:val="00764FED"/>
    <w:pPr>
      <w:spacing w:after="0" w:line="240" w:lineRule="auto"/>
    </w:pPr>
    <w:rPr>
      <w:rFonts w:ascii="Segoe UI" w:eastAsiaTheme="minorHAnsi" w:hAnsi="Segoe UI" w:cs="Segoe UI"/>
      <w:b/>
      <w:color w:val="335B74" w:themeColor="text2"/>
      <w:sz w:val="40"/>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5819">
      <w:bodyDiv w:val="1"/>
      <w:marLeft w:val="0"/>
      <w:marRight w:val="0"/>
      <w:marTop w:val="0"/>
      <w:marBottom w:val="0"/>
      <w:divBdr>
        <w:top w:val="none" w:sz="0" w:space="0" w:color="auto"/>
        <w:left w:val="none" w:sz="0" w:space="0" w:color="auto"/>
        <w:bottom w:val="none" w:sz="0" w:space="0" w:color="auto"/>
        <w:right w:val="none" w:sz="0" w:space="0" w:color="auto"/>
      </w:divBdr>
    </w:div>
    <w:div w:id="28801900">
      <w:bodyDiv w:val="1"/>
      <w:marLeft w:val="0"/>
      <w:marRight w:val="0"/>
      <w:marTop w:val="0"/>
      <w:marBottom w:val="0"/>
      <w:divBdr>
        <w:top w:val="none" w:sz="0" w:space="0" w:color="auto"/>
        <w:left w:val="none" w:sz="0" w:space="0" w:color="auto"/>
        <w:bottom w:val="none" w:sz="0" w:space="0" w:color="auto"/>
        <w:right w:val="none" w:sz="0" w:space="0" w:color="auto"/>
      </w:divBdr>
    </w:div>
    <w:div w:id="35204507">
      <w:bodyDiv w:val="1"/>
      <w:marLeft w:val="0"/>
      <w:marRight w:val="0"/>
      <w:marTop w:val="0"/>
      <w:marBottom w:val="0"/>
      <w:divBdr>
        <w:top w:val="none" w:sz="0" w:space="0" w:color="auto"/>
        <w:left w:val="none" w:sz="0" w:space="0" w:color="auto"/>
        <w:bottom w:val="none" w:sz="0" w:space="0" w:color="auto"/>
        <w:right w:val="none" w:sz="0" w:space="0" w:color="auto"/>
      </w:divBdr>
    </w:div>
    <w:div w:id="69280759">
      <w:bodyDiv w:val="1"/>
      <w:marLeft w:val="0"/>
      <w:marRight w:val="0"/>
      <w:marTop w:val="0"/>
      <w:marBottom w:val="0"/>
      <w:divBdr>
        <w:top w:val="none" w:sz="0" w:space="0" w:color="auto"/>
        <w:left w:val="none" w:sz="0" w:space="0" w:color="auto"/>
        <w:bottom w:val="none" w:sz="0" w:space="0" w:color="auto"/>
        <w:right w:val="none" w:sz="0" w:space="0" w:color="auto"/>
      </w:divBdr>
    </w:div>
    <w:div w:id="111024460">
      <w:bodyDiv w:val="1"/>
      <w:marLeft w:val="0"/>
      <w:marRight w:val="0"/>
      <w:marTop w:val="0"/>
      <w:marBottom w:val="0"/>
      <w:divBdr>
        <w:top w:val="none" w:sz="0" w:space="0" w:color="auto"/>
        <w:left w:val="none" w:sz="0" w:space="0" w:color="auto"/>
        <w:bottom w:val="none" w:sz="0" w:space="0" w:color="auto"/>
        <w:right w:val="none" w:sz="0" w:space="0" w:color="auto"/>
      </w:divBdr>
    </w:div>
    <w:div w:id="112093117">
      <w:bodyDiv w:val="1"/>
      <w:marLeft w:val="0"/>
      <w:marRight w:val="0"/>
      <w:marTop w:val="0"/>
      <w:marBottom w:val="0"/>
      <w:divBdr>
        <w:top w:val="none" w:sz="0" w:space="0" w:color="auto"/>
        <w:left w:val="none" w:sz="0" w:space="0" w:color="auto"/>
        <w:bottom w:val="none" w:sz="0" w:space="0" w:color="auto"/>
        <w:right w:val="none" w:sz="0" w:space="0" w:color="auto"/>
      </w:divBdr>
    </w:div>
    <w:div w:id="147523775">
      <w:bodyDiv w:val="1"/>
      <w:marLeft w:val="0"/>
      <w:marRight w:val="0"/>
      <w:marTop w:val="0"/>
      <w:marBottom w:val="0"/>
      <w:divBdr>
        <w:top w:val="none" w:sz="0" w:space="0" w:color="auto"/>
        <w:left w:val="none" w:sz="0" w:space="0" w:color="auto"/>
        <w:bottom w:val="none" w:sz="0" w:space="0" w:color="auto"/>
        <w:right w:val="none" w:sz="0" w:space="0" w:color="auto"/>
      </w:divBdr>
    </w:div>
    <w:div w:id="150223240">
      <w:bodyDiv w:val="1"/>
      <w:marLeft w:val="0"/>
      <w:marRight w:val="0"/>
      <w:marTop w:val="0"/>
      <w:marBottom w:val="0"/>
      <w:divBdr>
        <w:top w:val="none" w:sz="0" w:space="0" w:color="auto"/>
        <w:left w:val="none" w:sz="0" w:space="0" w:color="auto"/>
        <w:bottom w:val="none" w:sz="0" w:space="0" w:color="auto"/>
        <w:right w:val="none" w:sz="0" w:space="0" w:color="auto"/>
      </w:divBdr>
    </w:div>
    <w:div w:id="151021248">
      <w:bodyDiv w:val="1"/>
      <w:marLeft w:val="0"/>
      <w:marRight w:val="0"/>
      <w:marTop w:val="0"/>
      <w:marBottom w:val="0"/>
      <w:divBdr>
        <w:top w:val="none" w:sz="0" w:space="0" w:color="auto"/>
        <w:left w:val="none" w:sz="0" w:space="0" w:color="auto"/>
        <w:bottom w:val="none" w:sz="0" w:space="0" w:color="auto"/>
        <w:right w:val="none" w:sz="0" w:space="0" w:color="auto"/>
      </w:divBdr>
    </w:div>
    <w:div w:id="163128429">
      <w:bodyDiv w:val="1"/>
      <w:marLeft w:val="0"/>
      <w:marRight w:val="0"/>
      <w:marTop w:val="0"/>
      <w:marBottom w:val="0"/>
      <w:divBdr>
        <w:top w:val="none" w:sz="0" w:space="0" w:color="auto"/>
        <w:left w:val="none" w:sz="0" w:space="0" w:color="auto"/>
        <w:bottom w:val="none" w:sz="0" w:space="0" w:color="auto"/>
        <w:right w:val="none" w:sz="0" w:space="0" w:color="auto"/>
      </w:divBdr>
    </w:div>
    <w:div w:id="176582181">
      <w:bodyDiv w:val="1"/>
      <w:marLeft w:val="0"/>
      <w:marRight w:val="0"/>
      <w:marTop w:val="0"/>
      <w:marBottom w:val="0"/>
      <w:divBdr>
        <w:top w:val="none" w:sz="0" w:space="0" w:color="auto"/>
        <w:left w:val="none" w:sz="0" w:space="0" w:color="auto"/>
        <w:bottom w:val="none" w:sz="0" w:space="0" w:color="auto"/>
        <w:right w:val="none" w:sz="0" w:space="0" w:color="auto"/>
      </w:divBdr>
    </w:div>
    <w:div w:id="182598367">
      <w:bodyDiv w:val="1"/>
      <w:marLeft w:val="0"/>
      <w:marRight w:val="0"/>
      <w:marTop w:val="0"/>
      <w:marBottom w:val="0"/>
      <w:divBdr>
        <w:top w:val="none" w:sz="0" w:space="0" w:color="auto"/>
        <w:left w:val="none" w:sz="0" w:space="0" w:color="auto"/>
        <w:bottom w:val="none" w:sz="0" w:space="0" w:color="auto"/>
        <w:right w:val="none" w:sz="0" w:space="0" w:color="auto"/>
      </w:divBdr>
    </w:div>
    <w:div w:id="233973997">
      <w:bodyDiv w:val="1"/>
      <w:marLeft w:val="0"/>
      <w:marRight w:val="0"/>
      <w:marTop w:val="0"/>
      <w:marBottom w:val="0"/>
      <w:divBdr>
        <w:top w:val="none" w:sz="0" w:space="0" w:color="auto"/>
        <w:left w:val="none" w:sz="0" w:space="0" w:color="auto"/>
        <w:bottom w:val="none" w:sz="0" w:space="0" w:color="auto"/>
        <w:right w:val="none" w:sz="0" w:space="0" w:color="auto"/>
      </w:divBdr>
      <w:divsChild>
        <w:div w:id="690033137">
          <w:marLeft w:val="720"/>
          <w:marRight w:val="0"/>
          <w:marTop w:val="120"/>
          <w:marBottom w:val="0"/>
          <w:divBdr>
            <w:top w:val="none" w:sz="0" w:space="0" w:color="auto"/>
            <w:left w:val="none" w:sz="0" w:space="0" w:color="auto"/>
            <w:bottom w:val="none" w:sz="0" w:space="0" w:color="auto"/>
            <w:right w:val="none" w:sz="0" w:space="0" w:color="auto"/>
          </w:divBdr>
        </w:div>
        <w:div w:id="870920772">
          <w:marLeft w:val="720"/>
          <w:marRight w:val="0"/>
          <w:marTop w:val="120"/>
          <w:marBottom w:val="0"/>
          <w:divBdr>
            <w:top w:val="none" w:sz="0" w:space="0" w:color="auto"/>
            <w:left w:val="none" w:sz="0" w:space="0" w:color="auto"/>
            <w:bottom w:val="none" w:sz="0" w:space="0" w:color="auto"/>
            <w:right w:val="none" w:sz="0" w:space="0" w:color="auto"/>
          </w:divBdr>
        </w:div>
        <w:div w:id="543106164">
          <w:marLeft w:val="1440"/>
          <w:marRight w:val="0"/>
          <w:marTop w:val="0"/>
          <w:marBottom w:val="0"/>
          <w:divBdr>
            <w:top w:val="none" w:sz="0" w:space="0" w:color="auto"/>
            <w:left w:val="none" w:sz="0" w:space="0" w:color="auto"/>
            <w:bottom w:val="none" w:sz="0" w:space="0" w:color="auto"/>
            <w:right w:val="none" w:sz="0" w:space="0" w:color="auto"/>
          </w:divBdr>
        </w:div>
        <w:div w:id="727919210">
          <w:marLeft w:val="1440"/>
          <w:marRight w:val="0"/>
          <w:marTop w:val="0"/>
          <w:marBottom w:val="0"/>
          <w:divBdr>
            <w:top w:val="none" w:sz="0" w:space="0" w:color="auto"/>
            <w:left w:val="none" w:sz="0" w:space="0" w:color="auto"/>
            <w:bottom w:val="none" w:sz="0" w:space="0" w:color="auto"/>
            <w:right w:val="none" w:sz="0" w:space="0" w:color="auto"/>
          </w:divBdr>
        </w:div>
        <w:div w:id="609049477">
          <w:marLeft w:val="1440"/>
          <w:marRight w:val="0"/>
          <w:marTop w:val="0"/>
          <w:marBottom w:val="0"/>
          <w:divBdr>
            <w:top w:val="none" w:sz="0" w:space="0" w:color="auto"/>
            <w:left w:val="none" w:sz="0" w:space="0" w:color="auto"/>
            <w:bottom w:val="none" w:sz="0" w:space="0" w:color="auto"/>
            <w:right w:val="none" w:sz="0" w:space="0" w:color="auto"/>
          </w:divBdr>
        </w:div>
      </w:divsChild>
    </w:div>
    <w:div w:id="247883513">
      <w:bodyDiv w:val="1"/>
      <w:marLeft w:val="0"/>
      <w:marRight w:val="0"/>
      <w:marTop w:val="0"/>
      <w:marBottom w:val="0"/>
      <w:divBdr>
        <w:top w:val="none" w:sz="0" w:space="0" w:color="auto"/>
        <w:left w:val="none" w:sz="0" w:space="0" w:color="auto"/>
        <w:bottom w:val="none" w:sz="0" w:space="0" w:color="auto"/>
        <w:right w:val="none" w:sz="0" w:space="0" w:color="auto"/>
      </w:divBdr>
    </w:div>
    <w:div w:id="250163508">
      <w:bodyDiv w:val="1"/>
      <w:marLeft w:val="0"/>
      <w:marRight w:val="0"/>
      <w:marTop w:val="0"/>
      <w:marBottom w:val="0"/>
      <w:divBdr>
        <w:top w:val="none" w:sz="0" w:space="0" w:color="auto"/>
        <w:left w:val="none" w:sz="0" w:space="0" w:color="auto"/>
        <w:bottom w:val="none" w:sz="0" w:space="0" w:color="auto"/>
        <w:right w:val="none" w:sz="0" w:space="0" w:color="auto"/>
      </w:divBdr>
    </w:div>
    <w:div w:id="257443603">
      <w:bodyDiv w:val="1"/>
      <w:marLeft w:val="0"/>
      <w:marRight w:val="0"/>
      <w:marTop w:val="0"/>
      <w:marBottom w:val="0"/>
      <w:divBdr>
        <w:top w:val="none" w:sz="0" w:space="0" w:color="auto"/>
        <w:left w:val="none" w:sz="0" w:space="0" w:color="auto"/>
        <w:bottom w:val="none" w:sz="0" w:space="0" w:color="auto"/>
        <w:right w:val="none" w:sz="0" w:space="0" w:color="auto"/>
      </w:divBdr>
    </w:div>
    <w:div w:id="269313302">
      <w:bodyDiv w:val="1"/>
      <w:marLeft w:val="0"/>
      <w:marRight w:val="0"/>
      <w:marTop w:val="0"/>
      <w:marBottom w:val="0"/>
      <w:divBdr>
        <w:top w:val="none" w:sz="0" w:space="0" w:color="auto"/>
        <w:left w:val="none" w:sz="0" w:space="0" w:color="auto"/>
        <w:bottom w:val="none" w:sz="0" w:space="0" w:color="auto"/>
        <w:right w:val="none" w:sz="0" w:space="0" w:color="auto"/>
      </w:divBdr>
    </w:div>
    <w:div w:id="287905849">
      <w:bodyDiv w:val="1"/>
      <w:marLeft w:val="0"/>
      <w:marRight w:val="0"/>
      <w:marTop w:val="0"/>
      <w:marBottom w:val="0"/>
      <w:divBdr>
        <w:top w:val="none" w:sz="0" w:space="0" w:color="auto"/>
        <w:left w:val="none" w:sz="0" w:space="0" w:color="auto"/>
        <w:bottom w:val="none" w:sz="0" w:space="0" w:color="auto"/>
        <w:right w:val="none" w:sz="0" w:space="0" w:color="auto"/>
      </w:divBdr>
    </w:div>
    <w:div w:id="296449986">
      <w:bodyDiv w:val="1"/>
      <w:marLeft w:val="0"/>
      <w:marRight w:val="0"/>
      <w:marTop w:val="0"/>
      <w:marBottom w:val="0"/>
      <w:divBdr>
        <w:top w:val="none" w:sz="0" w:space="0" w:color="auto"/>
        <w:left w:val="none" w:sz="0" w:space="0" w:color="auto"/>
        <w:bottom w:val="none" w:sz="0" w:space="0" w:color="auto"/>
        <w:right w:val="none" w:sz="0" w:space="0" w:color="auto"/>
      </w:divBdr>
      <w:divsChild>
        <w:div w:id="1146626941">
          <w:marLeft w:val="720"/>
          <w:marRight w:val="0"/>
          <w:marTop w:val="120"/>
          <w:marBottom w:val="0"/>
          <w:divBdr>
            <w:top w:val="none" w:sz="0" w:space="0" w:color="auto"/>
            <w:left w:val="none" w:sz="0" w:space="0" w:color="auto"/>
            <w:bottom w:val="none" w:sz="0" w:space="0" w:color="auto"/>
            <w:right w:val="none" w:sz="0" w:space="0" w:color="auto"/>
          </w:divBdr>
        </w:div>
      </w:divsChild>
    </w:div>
    <w:div w:id="306937052">
      <w:bodyDiv w:val="1"/>
      <w:marLeft w:val="0"/>
      <w:marRight w:val="0"/>
      <w:marTop w:val="0"/>
      <w:marBottom w:val="0"/>
      <w:divBdr>
        <w:top w:val="none" w:sz="0" w:space="0" w:color="auto"/>
        <w:left w:val="none" w:sz="0" w:space="0" w:color="auto"/>
        <w:bottom w:val="none" w:sz="0" w:space="0" w:color="auto"/>
        <w:right w:val="none" w:sz="0" w:space="0" w:color="auto"/>
      </w:divBdr>
    </w:div>
    <w:div w:id="310405549">
      <w:bodyDiv w:val="1"/>
      <w:marLeft w:val="0"/>
      <w:marRight w:val="0"/>
      <w:marTop w:val="0"/>
      <w:marBottom w:val="0"/>
      <w:divBdr>
        <w:top w:val="none" w:sz="0" w:space="0" w:color="auto"/>
        <w:left w:val="none" w:sz="0" w:space="0" w:color="auto"/>
        <w:bottom w:val="none" w:sz="0" w:space="0" w:color="auto"/>
        <w:right w:val="none" w:sz="0" w:space="0" w:color="auto"/>
      </w:divBdr>
    </w:div>
    <w:div w:id="316302589">
      <w:bodyDiv w:val="1"/>
      <w:marLeft w:val="0"/>
      <w:marRight w:val="0"/>
      <w:marTop w:val="0"/>
      <w:marBottom w:val="0"/>
      <w:divBdr>
        <w:top w:val="none" w:sz="0" w:space="0" w:color="auto"/>
        <w:left w:val="none" w:sz="0" w:space="0" w:color="auto"/>
        <w:bottom w:val="none" w:sz="0" w:space="0" w:color="auto"/>
        <w:right w:val="none" w:sz="0" w:space="0" w:color="auto"/>
      </w:divBdr>
    </w:div>
    <w:div w:id="349988339">
      <w:bodyDiv w:val="1"/>
      <w:marLeft w:val="0"/>
      <w:marRight w:val="0"/>
      <w:marTop w:val="0"/>
      <w:marBottom w:val="0"/>
      <w:divBdr>
        <w:top w:val="none" w:sz="0" w:space="0" w:color="auto"/>
        <w:left w:val="none" w:sz="0" w:space="0" w:color="auto"/>
        <w:bottom w:val="none" w:sz="0" w:space="0" w:color="auto"/>
        <w:right w:val="none" w:sz="0" w:space="0" w:color="auto"/>
      </w:divBdr>
    </w:div>
    <w:div w:id="355353248">
      <w:bodyDiv w:val="1"/>
      <w:marLeft w:val="0"/>
      <w:marRight w:val="0"/>
      <w:marTop w:val="0"/>
      <w:marBottom w:val="0"/>
      <w:divBdr>
        <w:top w:val="none" w:sz="0" w:space="0" w:color="auto"/>
        <w:left w:val="none" w:sz="0" w:space="0" w:color="auto"/>
        <w:bottom w:val="none" w:sz="0" w:space="0" w:color="auto"/>
        <w:right w:val="none" w:sz="0" w:space="0" w:color="auto"/>
      </w:divBdr>
    </w:div>
    <w:div w:id="355884434">
      <w:bodyDiv w:val="1"/>
      <w:marLeft w:val="0"/>
      <w:marRight w:val="0"/>
      <w:marTop w:val="0"/>
      <w:marBottom w:val="0"/>
      <w:divBdr>
        <w:top w:val="none" w:sz="0" w:space="0" w:color="auto"/>
        <w:left w:val="none" w:sz="0" w:space="0" w:color="auto"/>
        <w:bottom w:val="none" w:sz="0" w:space="0" w:color="auto"/>
        <w:right w:val="none" w:sz="0" w:space="0" w:color="auto"/>
      </w:divBdr>
      <w:divsChild>
        <w:div w:id="1845627189">
          <w:marLeft w:val="1440"/>
          <w:marRight w:val="0"/>
          <w:marTop w:val="0"/>
          <w:marBottom w:val="0"/>
          <w:divBdr>
            <w:top w:val="none" w:sz="0" w:space="0" w:color="auto"/>
            <w:left w:val="none" w:sz="0" w:space="0" w:color="auto"/>
            <w:bottom w:val="none" w:sz="0" w:space="0" w:color="auto"/>
            <w:right w:val="none" w:sz="0" w:space="0" w:color="auto"/>
          </w:divBdr>
        </w:div>
        <w:div w:id="1028679261">
          <w:marLeft w:val="2160"/>
          <w:marRight w:val="0"/>
          <w:marTop w:val="0"/>
          <w:marBottom w:val="0"/>
          <w:divBdr>
            <w:top w:val="none" w:sz="0" w:space="0" w:color="auto"/>
            <w:left w:val="none" w:sz="0" w:space="0" w:color="auto"/>
            <w:bottom w:val="none" w:sz="0" w:space="0" w:color="auto"/>
            <w:right w:val="none" w:sz="0" w:space="0" w:color="auto"/>
          </w:divBdr>
        </w:div>
        <w:div w:id="1142307916">
          <w:marLeft w:val="2160"/>
          <w:marRight w:val="0"/>
          <w:marTop w:val="0"/>
          <w:marBottom w:val="0"/>
          <w:divBdr>
            <w:top w:val="none" w:sz="0" w:space="0" w:color="auto"/>
            <w:left w:val="none" w:sz="0" w:space="0" w:color="auto"/>
            <w:bottom w:val="none" w:sz="0" w:space="0" w:color="auto"/>
            <w:right w:val="none" w:sz="0" w:space="0" w:color="auto"/>
          </w:divBdr>
        </w:div>
        <w:div w:id="630287393">
          <w:marLeft w:val="1440"/>
          <w:marRight w:val="0"/>
          <w:marTop w:val="0"/>
          <w:marBottom w:val="0"/>
          <w:divBdr>
            <w:top w:val="none" w:sz="0" w:space="0" w:color="auto"/>
            <w:left w:val="none" w:sz="0" w:space="0" w:color="auto"/>
            <w:bottom w:val="none" w:sz="0" w:space="0" w:color="auto"/>
            <w:right w:val="none" w:sz="0" w:space="0" w:color="auto"/>
          </w:divBdr>
        </w:div>
        <w:div w:id="645356977">
          <w:marLeft w:val="1440"/>
          <w:marRight w:val="0"/>
          <w:marTop w:val="0"/>
          <w:marBottom w:val="0"/>
          <w:divBdr>
            <w:top w:val="none" w:sz="0" w:space="0" w:color="auto"/>
            <w:left w:val="none" w:sz="0" w:space="0" w:color="auto"/>
            <w:bottom w:val="none" w:sz="0" w:space="0" w:color="auto"/>
            <w:right w:val="none" w:sz="0" w:space="0" w:color="auto"/>
          </w:divBdr>
        </w:div>
        <w:div w:id="484705351">
          <w:marLeft w:val="1440"/>
          <w:marRight w:val="0"/>
          <w:marTop w:val="0"/>
          <w:marBottom w:val="0"/>
          <w:divBdr>
            <w:top w:val="none" w:sz="0" w:space="0" w:color="auto"/>
            <w:left w:val="none" w:sz="0" w:space="0" w:color="auto"/>
            <w:bottom w:val="none" w:sz="0" w:space="0" w:color="auto"/>
            <w:right w:val="none" w:sz="0" w:space="0" w:color="auto"/>
          </w:divBdr>
        </w:div>
      </w:divsChild>
    </w:div>
    <w:div w:id="363209443">
      <w:bodyDiv w:val="1"/>
      <w:marLeft w:val="0"/>
      <w:marRight w:val="0"/>
      <w:marTop w:val="0"/>
      <w:marBottom w:val="0"/>
      <w:divBdr>
        <w:top w:val="none" w:sz="0" w:space="0" w:color="auto"/>
        <w:left w:val="none" w:sz="0" w:space="0" w:color="auto"/>
        <w:bottom w:val="none" w:sz="0" w:space="0" w:color="auto"/>
        <w:right w:val="none" w:sz="0" w:space="0" w:color="auto"/>
      </w:divBdr>
    </w:div>
    <w:div w:id="367880500">
      <w:bodyDiv w:val="1"/>
      <w:marLeft w:val="0"/>
      <w:marRight w:val="0"/>
      <w:marTop w:val="0"/>
      <w:marBottom w:val="0"/>
      <w:divBdr>
        <w:top w:val="none" w:sz="0" w:space="0" w:color="auto"/>
        <w:left w:val="none" w:sz="0" w:space="0" w:color="auto"/>
        <w:bottom w:val="none" w:sz="0" w:space="0" w:color="auto"/>
        <w:right w:val="none" w:sz="0" w:space="0" w:color="auto"/>
      </w:divBdr>
    </w:div>
    <w:div w:id="383138984">
      <w:bodyDiv w:val="1"/>
      <w:marLeft w:val="0"/>
      <w:marRight w:val="0"/>
      <w:marTop w:val="0"/>
      <w:marBottom w:val="0"/>
      <w:divBdr>
        <w:top w:val="none" w:sz="0" w:space="0" w:color="auto"/>
        <w:left w:val="none" w:sz="0" w:space="0" w:color="auto"/>
        <w:bottom w:val="none" w:sz="0" w:space="0" w:color="auto"/>
        <w:right w:val="none" w:sz="0" w:space="0" w:color="auto"/>
      </w:divBdr>
    </w:div>
    <w:div w:id="383722690">
      <w:bodyDiv w:val="1"/>
      <w:marLeft w:val="0"/>
      <w:marRight w:val="0"/>
      <w:marTop w:val="0"/>
      <w:marBottom w:val="0"/>
      <w:divBdr>
        <w:top w:val="none" w:sz="0" w:space="0" w:color="auto"/>
        <w:left w:val="none" w:sz="0" w:space="0" w:color="auto"/>
        <w:bottom w:val="none" w:sz="0" w:space="0" w:color="auto"/>
        <w:right w:val="none" w:sz="0" w:space="0" w:color="auto"/>
      </w:divBdr>
      <w:divsChild>
        <w:div w:id="1012534537">
          <w:marLeft w:val="547"/>
          <w:marRight w:val="0"/>
          <w:marTop w:val="0"/>
          <w:marBottom w:val="0"/>
          <w:divBdr>
            <w:top w:val="none" w:sz="0" w:space="0" w:color="auto"/>
            <w:left w:val="none" w:sz="0" w:space="0" w:color="auto"/>
            <w:bottom w:val="none" w:sz="0" w:space="0" w:color="auto"/>
            <w:right w:val="none" w:sz="0" w:space="0" w:color="auto"/>
          </w:divBdr>
        </w:div>
      </w:divsChild>
    </w:div>
    <w:div w:id="412356053">
      <w:bodyDiv w:val="1"/>
      <w:marLeft w:val="0"/>
      <w:marRight w:val="0"/>
      <w:marTop w:val="0"/>
      <w:marBottom w:val="0"/>
      <w:divBdr>
        <w:top w:val="none" w:sz="0" w:space="0" w:color="auto"/>
        <w:left w:val="none" w:sz="0" w:space="0" w:color="auto"/>
        <w:bottom w:val="none" w:sz="0" w:space="0" w:color="auto"/>
        <w:right w:val="none" w:sz="0" w:space="0" w:color="auto"/>
      </w:divBdr>
    </w:div>
    <w:div w:id="420026752">
      <w:bodyDiv w:val="1"/>
      <w:marLeft w:val="0"/>
      <w:marRight w:val="0"/>
      <w:marTop w:val="0"/>
      <w:marBottom w:val="0"/>
      <w:divBdr>
        <w:top w:val="none" w:sz="0" w:space="0" w:color="auto"/>
        <w:left w:val="none" w:sz="0" w:space="0" w:color="auto"/>
        <w:bottom w:val="none" w:sz="0" w:space="0" w:color="auto"/>
        <w:right w:val="none" w:sz="0" w:space="0" w:color="auto"/>
      </w:divBdr>
    </w:div>
    <w:div w:id="427505302">
      <w:bodyDiv w:val="1"/>
      <w:marLeft w:val="0"/>
      <w:marRight w:val="0"/>
      <w:marTop w:val="0"/>
      <w:marBottom w:val="0"/>
      <w:divBdr>
        <w:top w:val="none" w:sz="0" w:space="0" w:color="auto"/>
        <w:left w:val="none" w:sz="0" w:space="0" w:color="auto"/>
        <w:bottom w:val="none" w:sz="0" w:space="0" w:color="auto"/>
        <w:right w:val="none" w:sz="0" w:space="0" w:color="auto"/>
      </w:divBdr>
    </w:div>
    <w:div w:id="433482294">
      <w:bodyDiv w:val="1"/>
      <w:marLeft w:val="0"/>
      <w:marRight w:val="0"/>
      <w:marTop w:val="0"/>
      <w:marBottom w:val="0"/>
      <w:divBdr>
        <w:top w:val="none" w:sz="0" w:space="0" w:color="auto"/>
        <w:left w:val="none" w:sz="0" w:space="0" w:color="auto"/>
        <w:bottom w:val="none" w:sz="0" w:space="0" w:color="auto"/>
        <w:right w:val="none" w:sz="0" w:space="0" w:color="auto"/>
      </w:divBdr>
      <w:divsChild>
        <w:div w:id="488716395">
          <w:marLeft w:val="1267"/>
          <w:marRight w:val="0"/>
          <w:marTop w:val="0"/>
          <w:marBottom w:val="160"/>
          <w:divBdr>
            <w:top w:val="none" w:sz="0" w:space="0" w:color="auto"/>
            <w:left w:val="none" w:sz="0" w:space="0" w:color="auto"/>
            <w:bottom w:val="none" w:sz="0" w:space="0" w:color="auto"/>
            <w:right w:val="none" w:sz="0" w:space="0" w:color="auto"/>
          </w:divBdr>
        </w:div>
        <w:div w:id="2070834856">
          <w:marLeft w:val="1267"/>
          <w:marRight w:val="0"/>
          <w:marTop w:val="0"/>
          <w:marBottom w:val="160"/>
          <w:divBdr>
            <w:top w:val="none" w:sz="0" w:space="0" w:color="auto"/>
            <w:left w:val="none" w:sz="0" w:space="0" w:color="auto"/>
            <w:bottom w:val="none" w:sz="0" w:space="0" w:color="auto"/>
            <w:right w:val="none" w:sz="0" w:space="0" w:color="auto"/>
          </w:divBdr>
        </w:div>
        <w:div w:id="1760826532">
          <w:marLeft w:val="1267"/>
          <w:marRight w:val="0"/>
          <w:marTop w:val="0"/>
          <w:marBottom w:val="160"/>
          <w:divBdr>
            <w:top w:val="none" w:sz="0" w:space="0" w:color="auto"/>
            <w:left w:val="none" w:sz="0" w:space="0" w:color="auto"/>
            <w:bottom w:val="none" w:sz="0" w:space="0" w:color="auto"/>
            <w:right w:val="none" w:sz="0" w:space="0" w:color="auto"/>
          </w:divBdr>
        </w:div>
        <w:div w:id="774208198">
          <w:marLeft w:val="1267"/>
          <w:marRight w:val="0"/>
          <w:marTop w:val="0"/>
          <w:marBottom w:val="160"/>
          <w:divBdr>
            <w:top w:val="none" w:sz="0" w:space="0" w:color="auto"/>
            <w:left w:val="none" w:sz="0" w:space="0" w:color="auto"/>
            <w:bottom w:val="none" w:sz="0" w:space="0" w:color="auto"/>
            <w:right w:val="none" w:sz="0" w:space="0" w:color="auto"/>
          </w:divBdr>
        </w:div>
        <w:div w:id="1713194249">
          <w:marLeft w:val="1267"/>
          <w:marRight w:val="0"/>
          <w:marTop w:val="0"/>
          <w:marBottom w:val="160"/>
          <w:divBdr>
            <w:top w:val="none" w:sz="0" w:space="0" w:color="auto"/>
            <w:left w:val="none" w:sz="0" w:space="0" w:color="auto"/>
            <w:bottom w:val="none" w:sz="0" w:space="0" w:color="auto"/>
            <w:right w:val="none" w:sz="0" w:space="0" w:color="auto"/>
          </w:divBdr>
        </w:div>
      </w:divsChild>
    </w:div>
    <w:div w:id="440534286">
      <w:bodyDiv w:val="1"/>
      <w:marLeft w:val="0"/>
      <w:marRight w:val="0"/>
      <w:marTop w:val="0"/>
      <w:marBottom w:val="0"/>
      <w:divBdr>
        <w:top w:val="none" w:sz="0" w:space="0" w:color="auto"/>
        <w:left w:val="none" w:sz="0" w:space="0" w:color="auto"/>
        <w:bottom w:val="none" w:sz="0" w:space="0" w:color="auto"/>
        <w:right w:val="none" w:sz="0" w:space="0" w:color="auto"/>
      </w:divBdr>
      <w:divsChild>
        <w:div w:id="750354341">
          <w:marLeft w:val="720"/>
          <w:marRight w:val="0"/>
          <w:marTop w:val="120"/>
          <w:marBottom w:val="0"/>
          <w:divBdr>
            <w:top w:val="none" w:sz="0" w:space="0" w:color="auto"/>
            <w:left w:val="none" w:sz="0" w:space="0" w:color="auto"/>
            <w:bottom w:val="none" w:sz="0" w:space="0" w:color="auto"/>
            <w:right w:val="none" w:sz="0" w:space="0" w:color="auto"/>
          </w:divBdr>
        </w:div>
      </w:divsChild>
    </w:div>
    <w:div w:id="454905443">
      <w:bodyDiv w:val="1"/>
      <w:marLeft w:val="0"/>
      <w:marRight w:val="0"/>
      <w:marTop w:val="0"/>
      <w:marBottom w:val="0"/>
      <w:divBdr>
        <w:top w:val="none" w:sz="0" w:space="0" w:color="auto"/>
        <w:left w:val="none" w:sz="0" w:space="0" w:color="auto"/>
        <w:bottom w:val="none" w:sz="0" w:space="0" w:color="auto"/>
        <w:right w:val="none" w:sz="0" w:space="0" w:color="auto"/>
      </w:divBdr>
    </w:div>
    <w:div w:id="462576233">
      <w:bodyDiv w:val="1"/>
      <w:marLeft w:val="0"/>
      <w:marRight w:val="0"/>
      <w:marTop w:val="0"/>
      <w:marBottom w:val="0"/>
      <w:divBdr>
        <w:top w:val="none" w:sz="0" w:space="0" w:color="auto"/>
        <w:left w:val="none" w:sz="0" w:space="0" w:color="auto"/>
        <w:bottom w:val="none" w:sz="0" w:space="0" w:color="auto"/>
        <w:right w:val="none" w:sz="0" w:space="0" w:color="auto"/>
      </w:divBdr>
    </w:div>
    <w:div w:id="466093985">
      <w:bodyDiv w:val="1"/>
      <w:marLeft w:val="0"/>
      <w:marRight w:val="0"/>
      <w:marTop w:val="0"/>
      <w:marBottom w:val="0"/>
      <w:divBdr>
        <w:top w:val="none" w:sz="0" w:space="0" w:color="auto"/>
        <w:left w:val="none" w:sz="0" w:space="0" w:color="auto"/>
        <w:bottom w:val="none" w:sz="0" w:space="0" w:color="auto"/>
        <w:right w:val="none" w:sz="0" w:space="0" w:color="auto"/>
      </w:divBdr>
    </w:div>
    <w:div w:id="490801636">
      <w:bodyDiv w:val="1"/>
      <w:marLeft w:val="0"/>
      <w:marRight w:val="0"/>
      <w:marTop w:val="0"/>
      <w:marBottom w:val="0"/>
      <w:divBdr>
        <w:top w:val="none" w:sz="0" w:space="0" w:color="auto"/>
        <w:left w:val="none" w:sz="0" w:space="0" w:color="auto"/>
        <w:bottom w:val="none" w:sz="0" w:space="0" w:color="auto"/>
        <w:right w:val="none" w:sz="0" w:space="0" w:color="auto"/>
      </w:divBdr>
    </w:div>
    <w:div w:id="499002029">
      <w:bodyDiv w:val="1"/>
      <w:marLeft w:val="0"/>
      <w:marRight w:val="0"/>
      <w:marTop w:val="0"/>
      <w:marBottom w:val="0"/>
      <w:divBdr>
        <w:top w:val="none" w:sz="0" w:space="0" w:color="auto"/>
        <w:left w:val="none" w:sz="0" w:space="0" w:color="auto"/>
        <w:bottom w:val="none" w:sz="0" w:space="0" w:color="auto"/>
        <w:right w:val="none" w:sz="0" w:space="0" w:color="auto"/>
      </w:divBdr>
    </w:div>
    <w:div w:id="521435851">
      <w:bodyDiv w:val="1"/>
      <w:marLeft w:val="0"/>
      <w:marRight w:val="0"/>
      <w:marTop w:val="0"/>
      <w:marBottom w:val="0"/>
      <w:divBdr>
        <w:top w:val="none" w:sz="0" w:space="0" w:color="auto"/>
        <w:left w:val="none" w:sz="0" w:space="0" w:color="auto"/>
        <w:bottom w:val="none" w:sz="0" w:space="0" w:color="auto"/>
        <w:right w:val="none" w:sz="0" w:space="0" w:color="auto"/>
      </w:divBdr>
    </w:div>
    <w:div w:id="526336081">
      <w:bodyDiv w:val="1"/>
      <w:marLeft w:val="0"/>
      <w:marRight w:val="0"/>
      <w:marTop w:val="0"/>
      <w:marBottom w:val="0"/>
      <w:divBdr>
        <w:top w:val="none" w:sz="0" w:space="0" w:color="auto"/>
        <w:left w:val="none" w:sz="0" w:space="0" w:color="auto"/>
        <w:bottom w:val="none" w:sz="0" w:space="0" w:color="auto"/>
        <w:right w:val="none" w:sz="0" w:space="0" w:color="auto"/>
      </w:divBdr>
    </w:div>
    <w:div w:id="556279750">
      <w:bodyDiv w:val="1"/>
      <w:marLeft w:val="0"/>
      <w:marRight w:val="0"/>
      <w:marTop w:val="0"/>
      <w:marBottom w:val="0"/>
      <w:divBdr>
        <w:top w:val="none" w:sz="0" w:space="0" w:color="auto"/>
        <w:left w:val="none" w:sz="0" w:space="0" w:color="auto"/>
        <w:bottom w:val="none" w:sz="0" w:space="0" w:color="auto"/>
        <w:right w:val="none" w:sz="0" w:space="0" w:color="auto"/>
      </w:divBdr>
    </w:div>
    <w:div w:id="586962416">
      <w:bodyDiv w:val="1"/>
      <w:marLeft w:val="0"/>
      <w:marRight w:val="0"/>
      <w:marTop w:val="0"/>
      <w:marBottom w:val="0"/>
      <w:divBdr>
        <w:top w:val="none" w:sz="0" w:space="0" w:color="auto"/>
        <w:left w:val="none" w:sz="0" w:space="0" w:color="auto"/>
        <w:bottom w:val="none" w:sz="0" w:space="0" w:color="auto"/>
        <w:right w:val="none" w:sz="0" w:space="0" w:color="auto"/>
      </w:divBdr>
    </w:div>
    <w:div w:id="617179088">
      <w:bodyDiv w:val="1"/>
      <w:marLeft w:val="0"/>
      <w:marRight w:val="0"/>
      <w:marTop w:val="0"/>
      <w:marBottom w:val="0"/>
      <w:divBdr>
        <w:top w:val="none" w:sz="0" w:space="0" w:color="auto"/>
        <w:left w:val="none" w:sz="0" w:space="0" w:color="auto"/>
        <w:bottom w:val="none" w:sz="0" w:space="0" w:color="auto"/>
        <w:right w:val="none" w:sz="0" w:space="0" w:color="auto"/>
      </w:divBdr>
    </w:div>
    <w:div w:id="617950478">
      <w:bodyDiv w:val="1"/>
      <w:marLeft w:val="0"/>
      <w:marRight w:val="0"/>
      <w:marTop w:val="0"/>
      <w:marBottom w:val="0"/>
      <w:divBdr>
        <w:top w:val="none" w:sz="0" w:space="0" w:color="auto"/>
        <w:left w:val="none" w:sz="0" w:space="0" w:color="auto"/>
        <w:bottom w:val="none" w:sz="0" w:space="0" w:color="auto"/>
        <w:right w:val="none" w:sz="0" w:space="0" w:color="auto"/>
      </w:divBdr>
    </w:div>
    <w:div w:id="630020405">
      <w:bodyDiv w:val="1"/>
      <w:marLeft w:val="0"/>
      <w:marRight w:val="0"/>
      <w:marTop w:val="0"/>
      <w:marBottom w:val="0"/>
      <w:divBdr>
        <w:top w:val="none" w:sz="0" w:space="0" w:color="auto"/>
        <w:left w:val="none" w:sz="0" w:space="0" w:color="auto"/>
        <w:bottom w:val="none" w:sz="0" w:space="0" w:color="auto"/>
        <w:right w:val="none" w:sz="0" w:space="0" w:color="auto"/>
      </w:divBdr>
      <w:divsChild>
        <w:div w:id="41441603">
          <w:marLeft w:val="446"/>
          <w:marRight w:val="0"/>
          <w:marTop w:val="0"/>
          <w:marBottom w:val="0"/>
          <w:divBdr>
            <w:top w:val="none" w:sz="0" w:space="0" w:color="auto"/>
            <w:left w:val="none" w:sz="0" w:space="0" w:color="auto"/>
            <w:bottom w:val="none" w:sz="0" w:space="0" w:color="auto"/>
            <w:right w:val="none" w:sz="0" w:space="0" w:color="auto"/>
          </w:divBdr>
        </w:div>
        <w:div w:id="1488983644">
          <w:marLeft w:val="446"/>
          <w:marRight w:val="0"/>
          <w:marTop w:val="0"/>
          <w:marBottom w:val="0"/>
          <w:divBdr>
            <w:top w:val="none" w:sz="0" w:space="0" w:color="auto"/>
            <w:left w:val="none" w:sz="0" w:space="0" w:color="auto"/>
            <w:bottom w:val="none" w:sz="0" w:space="0" w:color="auto"/>
            <w:right w:val="none" w:sz="0" w:space="0" w:color="auto"/>
          </w:divBdr>
        </w:div>
        <w:div w:id="1815756992">
          <w:marLeft w:val="446"/>
          <w:marRight w:val="0"/>
          <w:marTop w:val="0"/>
          <w:marBottom w:val="0"/>
          <w:divBdr>
            <w:top w:val="none" w:sz="0" w:space="0" w:color="auto"/>
            <w:left w:val="none" w:sz="0" w:space="0" w:color="auto"/>
            <w:bottom w:val="none" w:sz="0" w:space="0" w:color="auto"/>
            <w:right w:val="none" w:sz="0" w:space="0" w:color="auto"/>
          </w:divBdr>
        </w:div>
      </w:divsChild>
    </w:div>
    <w:div w:id="634524662">
      <w:bodyDiv w:val="1"/>
      <w:marLeft w:val="0"/>
      <w:marRight w:val="0"/>
      <w:marTop w:val="0"/>
      <w:marBottom w:val="0"/>
      <w:divBdr>
        <w:top w:val="none" w:sz="0" w:space="0" w:color="auto"/>
        <w:left w:val="none" w:sz="0" w:space="0" w:color="auto"/>
        <w:bottom w:val="none" w:sz="0" w:space="0" w:color="auto"/>
        <w:right w:val="none" w:sz="0" w:space="0" w:color="auto"/>
      </w:divBdr>
    </w:div>
    <w:div w:id="660039182">
      <w:bodyDiv w:val="1"/>
      <w:marLeft w:val="0"/>
      <w:marRight w:val="0"/>
      <w:marTop w:val="0"/>
      <w:marBottom w:val="0"/>
      <w:divBdr>
        <w:top w:val="none" w:sz="0" w:space="0" w:color="auto"/>
        <w:left w:val="none" w:sz="0" w:space="0" w:color="auto"/>
        <w:bottom w:val="none" w:sz="0" w:space="0" w:color="auto"/>
        <w:right w:val="none" w:sz="0" w:space="0" w:color="auto"/>
      </w:divBdr>
      <w:divsChild>
        <w:div w:id="245457758">
          <w:marLeft w:val="720"/>
          <w:marRight w:val="0"/>
          <w:marTop w:val="120"/>
          <w:marBottom w:val="0"/>
          <w:divBdr>
            <w:top w:val="none" w:sz="0" w:space="0" w:color="auto"/>
            <w:left w:val="none" w:sz="0" w:space="0" w:color="auto"/>
            <w:bottom w:val="none" w:sz="0" w:space="0" w:color="auto"/>
            <w:right w:val="none" w:sz="0" w:space="0" w:color="auto"/>
          </w:divBdr>
        </w:div>
      </w:divsChild>
    </w:div>
    <w:div w:id="662124833">
      <w:bodyDiv w:val="1"/>
      <w:marLeft w:val="0"/>
      <w:marRight w:val="0"/>
      <w:marTop w:val="0"/>
      <w:marBottom w:val="0"/>
      <w:divBdr>
        <w:top w:val="none" w:sz="0" w:space="0" w:color="auto"/>
        <w:left w:val="none" w:sz="0" w:space="0" w:color="auto"/>
        <w:bottom w:val="none" w:sz="0" w:space="0" w:color="auto"/>
        <w:right w:val="none" w:sz="0" w:space="0" w:color="auto"/>
      </w:divBdr>
    </w:div>
    <w:div w:id="688944696">
      <w:bodyDiv w:val="1"/>
      <w:marLeft w:val="0"/>
      <w:marRight w:val="0"/>
      <w:marTop w:val="0"/>
      <w:marBottom w:val="0"/>
      <w:divBdr>
        <w:top w:val="none" w:sz="0" w:space="0" w:color="auto"/>
        <w:left w:val="none" w:sz="0" w:space="0" w:color="auto"/>
        <w:bottom w:val="none" w:sz="0" w:space="0" w:color="auto"/>
        <w:right w:val="none" w:sz="0" w:space="0" w:color="auto"/>
      </w:divBdr>
    </w:div>
    <w:div w:id="691567883">
      <w:bodyDiv w:val="1"/>
      <w:marLeft w:val="0"/>
      <w:marRight w:val="0"/>
      <w:marTop w:val="0"/>
      <w:marBottom w:val="0"/>
      <w:divBdr>
        <w:top w:val="none" w:sz="0" w:space="0" w:color="auto"/>
        <w:left w:val="none" w:sz="0" w:space="0" w:color="auto"/>
        <w:bottom w:val="none" w:sz="0" w:space="0" w:color="auto"/>
        <w:right w:val="none" w:sz="0" w:space="0" w:color="auto"/>
      </w:divBdr>
    </w:div>
    <w:div w:id="701323681">
      <w:bodyDiv w:val="1"/>
      <w:marLeft w:val="0"/>
      <w:marRight w:val="0"/>
      <w:marTop w:val="0"/>
      <w:marBottom w:val="0"/>
      <w:divBdr>
        <w:top w:val="none" w:sz="0" w:space="0" w:color="auto"/>
        <w:left w:val="none" w:sz="0" w:space="0" w:color="auto"/>
        <w:bottom w:val="none" w:sz="0" w:space="0" w:color="auto"/>
        <w:right w:val="none" w:sz="0" w:space="0" w:color="auto"/>
      </w:divBdr>
      <w:divsChild>
        <w:div w:id="938491448">
          <w:marLeft w:val="720"/>
          <w:marRight w:val="0"/>
          <w:marTop w:val="120"/>
          <w:marBottom w:val="0"/>
          <w:divBdr>
            <w:top w:val="none" w:sz="0" w:space="0" w:color="auto"/>
            <w:left w:val="none" w:sz="0" w:space="0" w:color="auto"/>
            <w:bottom w:val="none" w:sz="0" w:space="0" w:color="auto"/>
            <w:right w:val="none" w:sz="0" w:space="0" w:color="auto"/>
          </w:divBdr>
        </w:div>
        <w:div w:id="1429155340">
          <w:marLeft w:val="720"/>
          <w:marRight w:val="0"/>
          <w:marTop w:val="120"/>
          <w:marBottom w:val="0"/>
          <w:divBdr>
            <w:top w:val="none" w:sz="0" w:space="0" w:color="auto"/>
            <w:left w:val="none" w:sz="0" w:space="0" w:color="auto"/>
            <w:bottom w:val="none" w:sz="0" w:space="0" w:color="auto"/>
            <w:right w:val="none" w:sz="0" w:space="0" w:color="auto"/>
          </w:divBdr>
        </w:div>
      </w:divsChild>
    </w:div>
    <w:div w:id="711539567">
      <w:bodyDiv w:val="1"/>
      <w:marLeft w:val="0"/>
      <w:marRight w:val="0"/>
      <w:marTop w:val="0"/>
      <w:marBottom w:val="0"/>
      <w:divBdr>
        <w:top w:val="none" w:sz="0" w:space="0" w:color="auto"/>
        <w:left w:val="none" w:sz="0" w:space="0" w:color="auto"/>
        <w:bottom w:val="none" w:sz="0" w:space="0" w:color="auto"/>
        <w:right w:val="none" w:sz="0" w:space="0" w:color="auto"/>
      </w:divBdr>
    </w:div>
    <w:div w:id="737478827">
      <w:bodyDiv w:val="1"/>
      <w:marLeft w:val="0"/>
      <w:marRight w:val="0"/>
      <w:marTop w:val="0"/>
      <w:marBottom w:val="0"/>
      <w:divBdr>
        <w:top w:val="none" w:sz="0" w:space="0" w:color="auto"/>
        <w:left w:val="none" w:sz="0" w:space="0" w:color="auto"/>
        <w:bottom w:val="none" w:sz="0" w:space="0" w:color="auto"/>
        <w:right w:val="none" w:sz="0" w:space="0" w:color="auto"/>
      </w:divBdr>
    </w:div>
    <w:div w:id="797646786">
      <w:bodyDiv w:val="1"/>
      <w:marLeft w:val="0"/>
      <w:marRight w:val="0"/>
      <w:marTop w:val="0"/>
      <w:marBottom w:val="0"/>
      <w:divBdr>
        <w:top w:val="none" w:sz="0" w:space="0" w:color="auto"/>
        <w:left w:val="none" w:sz="0" w:space="0" w:color="auto"/>
        <w:bottom w:val="none" w:sz="0" w:space="0" w:color="auto"/>
        <w:right w:val="none" w:sz="0" w:space="0" w:color="auto"/>
      </w:divBdr>
    </w:div>
    <w:div w:id="834567380">
      <w:bodyDiv w:val="1"/>
      <w:marLeft w:val="0"/>
      <w:marRight w:val="0"/>
      <w:marTop w:val="0"/>
      <w:marBottom w:val="0"/>
      <w:divBdr>
        <w:top w:val="none" w:sz="0" w:space="0" w:color="auto"/>
        <w:left w:val="none" w:sz="0" w:space="0" w:color="auto"/>
        <w:bottom w:val="none" w:sz="0" w:space="0" w:color="auto"/>
        <w:right w:val="none" w:sz="0" w:space="0" w:color="auto"/>
      </w:divBdr>
      <w:divsChild>
        <w:div w:id="613555403">
          <w:marLeft w:val="720"/>
          <w:marRight w:val="0"/>
          <w:marTop w:val="120"/>
          <w:marBottom w:val="0"/>
          <w:divBdr>
            <w:top w:val="none" w:sz="0" w:space="0" w:color="auto"/>
            <w:left w:val="none" w:sz="0" w:space="0" w:color="auto"/>
            <w:bottom w:val="none" w:sz="0" w:space="0" w:color="auto"/>
            <w:right w:val="none" w:sz="0" w:space="0" w:color="auto"/>
          </w:divBdr>
        </w:div>
      </w:divsChild>
    </w:div>
    <w:div w:id="852452725">
      <w:bodyDiv w:val="1"/>
      <w:marLeft w:val="0"/>
      <w:marRight w:val="0"/>
      <w:marTop w:val="0"/>
      <w:marBottom w:val="0"/>
      <w:divBdr>
        <w:top w:val="none" w:sz="0" w:space="0" w:color="auto"/>
        <w:left w:val="none" w:sz="0" w:space="0" w:color="auto"/>
        <w:bottom w:val="none" w:sz="0" w:space="0" w:color="auto"/>
        <w:right w:val="none" w:sz="0" w:space="0" w:color="auto"/>
      </w:divBdr>
    </w:div>
    <w:div w:id="921334401">
      <w:bodyDiv w:val="1"/>
      <w:marLeft w:val="0"/>
      <w:marRight w:val="0"/>
      <w:marTop w:val="0"/>
      <w:marBottom w:val="0"/>
      <w:divBdr>
        <w:top w:val="none" w:sz="0" w:space="0" w:color="auto"/>
        <w:left w:val="none" w:sz="0" w:space="0" w:color="auto"/>
        <w:bottom w:val="none" w:sz="0" w:space="0" w:color="auto"/>
        <w:right w:val="none" w:sz="0" w:space="0" w:color="auto"/>
      </w:divBdr>
    </w:div>
    <w:div w:id="921832983">
      <w:bodyDiv w:val="1"/>
      <w:marLeft w:val="0"/>
      <w:marRight w:val="0"/>
      <w:marTop w:val="0"/>
      <w:marBottom w:val="0"/>
      <w:divBdr>
        <w:top w:val="none" w:sz="0" w:space="0" w:color="auto"/>
        <w:left w:val="none" w:sz="0" w:space="0" w:color="auto"/>
        <w:bottom w:val="none" w:sz="0" w:space="0" w:color="auto"/>
        <w:right w:val="none" w:sz="0" w:space="0" w:color="auto"/>
      </w:divBdr>
    </w:div>
    <w:div w:id="953712513">
      <w:bodyDiv w:val="1"/>
      <w:marLeft w:val="0"/>
      <w:marRight w:val="0"/>
      <w:marTop w:val="0"/>
      <w:marBottom w:val="0"/>
      <w:divBdr>
        <w:top w:val="none" w:sz="0" w:space="0" w:color="auto"/>
        <w:left w:val="none" w:sz="0" w:space="0" w:color="auto"/>
        <w:bottom w:val="none" w:sz="0" w:space="0" w:color="auto"/>
        <w:right w:val="none" w:sz="0" w:space="0" w:color="auto"/>
      </w:divBdr>
    </w:div>
    <w:div w:id="953973791">
      <w:bodyDiv w:val="1"/>
      <w:marLeft w:val="0"/>
      <w:marRight w:val="0"/>
      <w:marTop w:val="0"/>
      <w:marBottom w:val="0"/>
      <w:divBdr>
        <w:top w:val="none" w:sz="0" w:space="0" w:color="auto"/>
        <w:left w:val="none" w:sz="0" w:space="0" w:color="auto"/>
        <w:bottom w:val="none" w:sz="0" w:space="0" w:color="auto"/>
        <w:right w:val="none" w:sz="0" w:space="0" w:color="auto"/>
      </w:divBdr>
    </w:div>
    <w:div w:id="956521570">
      <w:bodyDiv w:val="1"/>
      <w:marLeft w:val="0"/>
      <w:marRight w:val="0"/>
      <w:marTop w:val="0"/>
      <w:marBottom w:val="0"/>
      <w:divBdr>
        <w:top w:val="none" w:sz="0" w:space="0" w:color="auto"/>
        <w:left w:val="none" w:sz="0" w:space="0" w:color="auto"/>
        <w:bottom w:val="none" w:sz="0" w:space="0" w:color="auto"/>
        <w:right w:val="none" w:sz="0" w:space="0" w:color="auto"/>
      </w:divBdr>
    </w:div>
    <w:div w:id="974529721">
      <w:bodyDiv w:val="1"/>
      <w:marLeft w:val="0"/>
      <w:marRight w:val="0"/>
      <w:marTop w:val="0"/>
      <w:marBottom w:val="0"/>
      <w:divBdr>
        <w:top w:val="none" w:sz="0" w:space="0" w:color="auto"/>
        <w:left w:val="none" w:sz="0" w:space="0" w:color="auto"/>
        <w:bottom w:val="none" w:sz="0" w:space="0" w:color="auto"/>
        <w:right w:val="none" w:sz="0" w:space="0" w:color="auto"/>
      </w:divBdr>
    </w:div>
    <w:div w:id="998997783">
      <w:bodyDiv w:val="1"/>
      <w:marLeft w:val="0"/>
      <w:marRight w:val="0"/>
      <w:marTop w:val="0"/>
      <w:marBottom w:val="0"/>
      <w:divBdr>
        <w:top w:val="none" w:sz="0" w:space="0" w:color="auto"/>
        <w:left w:val="none" w:sz="0" w:space="0" w:color="auto"/>
        <w:bottom w:val="none" w:sz="0" w:space="0" w:color="auto"/>
        <w:right w:val="none" w:sz="0" w:space="0" w:color="auto"/>
      </w:divBdr>
      <w:divsChild>
        <w:div w:id="1781366681">
          <w:marLeft w:val="720"/>
          <w:marRight w:val="0"/>
          <w:marTop w:val="120"/>
          <w:marBottom w:val="0"/>
          <w:divBdr>
            <w:top w:val="none" w:sz="0" w:space="0" w:color="auto"/>
            <w:left w:val="none" w:sz="0" w:space="0" w:color="auto"/>
            <w:bottom w:val="none" w:sz="0" w:space="0" w:color="auto"/>
            <w:right w:val="none" w:sz="0" w:space="0" w:color="auto"/>
          </w:divBdr>
        </w:div>
      </w:divsChild>
    </w:div>
    <w:div w:id="1001347530">
      <w:bodyDiv w:val="1"/>
      <w:marLeft w:val="0"/>
      <w:marRight w:val="0"/>
      <w:marTop w:val="0"/>
      <w:marBottom w:val="0"/>
      <w:divBdr>
        <w:top w:val="none" w:sz="0" w:space="0" w:color="auto"/>
        <w:left w:val="none" w:sz="0" w:space="0" w:color="auto"/>
        <w:bottom w:val="none" w:sz="0" w:space="0" w:color="auto"/>
        <w:right w:val="none" w:sz="0" w:space="0" w:color="auto"/>
      </w:divBdr>
    </w:div>
    <w:div w:id="1009910766">
      <w:bodyDiv w:val="1"/>
      <w:marLeft w:val="0"/>
      <w:marRight w:val="0"/>
      <w:marTop w:val="0"/>
      <w:marBottom w:val="0"/>
      <w:divBdr>
        <w:top w:val="none" w:sz="0" w:space="0" w:color="auto"/>
        <w:left w:val="none" w:sz="0" w:space="0" w:color="auto"/>
        <w:bottom w:val="none" w:sz="0" w:space="0" w:color="auto"/>
        <w:right w:val="none" w:sz="0" w:space="0" w:color="auto"/>
      </w:divBdr>
    </w:div>
    <w:div w:id="1012953622">
      <w:bodyDiv w:val="1"/>
      <w:marLeft w:val="0"/>
      <w:marRight w:val="0"/>
      <w:marTop w:val="0"/>
      <w:marBottom w:val="0"/>
      <w:divBdr>
        <w:top w:val="none" w:sz="0" w:space="0" w:color="auto"/>
        <w:left w:val="none" w:sz="0" w:space="0" w:color="auto"/>
        <w:bottom w:val="none" w:sz="0" w:space="0" w:color="auto"/>
        <w:right w:val="none" w:sz="0" w:space="0" w:color="auto"/>
      </w:divBdr>
    </w:div>
    <w:div w:id="1057509117">
      <w:bodyDiv w:val="1"/>
      <w:marLeft w:val="0"/>
      <w:marRight w:val="0"/>
      <w:marTop w:val="0"/>
      <w:marBottom w:val="0"/>
      <w:divBdr>
        <w:top w:val="none" w:sz="0" w:space="0" w:color="auto"/>
        <w:left w:val="none" w:sz="0" w:space="0" w:color="auto"/>
        <w:bottom w:val="none" w:sz="0" w:space="0" w:color="auto"/>
        <w:right w:val="none" w:sz="0" w:space="0" w:color="auto"/>
      </w:divBdr>
    </w:div>
    <w:div w:id="1079716011">
      <w:bodyDiv w:val="1"/>
      <w:marLeft w:val="0"/>
      <w:marRight w:val="0"/>
      <w:marTop w:val="0"/>
      <w:marBottom w:val="0"/>
      <w:divBdr>
        <w:top w:val="none" w:sz="0" w:space="0" w:color="auto"/>
        <w:left w:val="none" w:sz="0" w:space="0" w:color="auto"/>
        <w:bottom w:val="none" w:sz="0" w:space="0" w:color="auto"/>
        <w:right w:val="none" w:sz="0" w:space="0" w:color="auto"/>
      </w:divBdr>
    </w:div>
    <w:div w:id="1083332805">
      <w:bodyDiv w:val="1"/>
      <w:marLeft w:val="0"/>
      <w:marRight w:val="0"/>
      <w:marTop w:val="0"/>
      <w:marBottom w:val="0"/>
      <w:divBdr>
        <w:top w:val="none" w:sz="0" w:space="0" w:color="auto"/>
        <w:left w:val="none" w:sz="0" w:space="0" w:color="auto"/>
        <w:bottom w:val="none" w:sz="0" w:space="0" w:color="auto"/>
        <w:right w:val="none" w:sz="0" w:space="0" w:color="auto"/>
      </w:divBdr>
      <w:divsChild>
        <w:div w:id="1965041361">
          <w:marLeft w:val="720"/>
          <w:marRight w:val="0"/>
          <w:marTop w:val="120"/>
          <w:marBottom w:val="0"/>
          <w:divBdr>
            <w:top w:val="none" w:sz="0" w:space="0" w:color="auto"/>
            <w:left w:val="none" w:sz="0" w:space="0" w:color="auto"/>
            <w:bottom w:val="none" w:sz="0" w:space="0" w:color="auto"/>
            <w:right w:val="none" w:sz="0" w:space="0" w:color="auto"/>
          </w:divBdr>
        </w:div>
        <w:div w:id="1373076407">
          <w:marLeft w:val="720"/>
          <w:marRight w:val="0"/>
          <w:marTop w:val="120"/>
          <w:marBottom w:val="0"/>
          <w:divBdr>
            <w:top w:val="none" w:sz="0" w:space="0" w:color="auto"/>
            <w:left w:val="none" w:sz="0" w:space="0" w:color="auto"/>
            <w:bottom w:val="none" w:sz="0" w:space="0" w:color="auto"/>
            <w:right w:val="none" w:sz="0" w:space="0" w:color="auto"/>
          </w:divBdr>
        </w:div>
        <w:div w:id="1375694090">
          <w:marLeft w:val="720"/>
          <w:marRight w:val="0"/>
          <w:marTop w:val="120"/>
          <w:marBottom w:val="0"/>
          <w:divBdr>
            <w:top w:val="none" w:sz="0" w:space="0" w:color="auto"/>
            <w:left w:val="none" w:sz="0" w:space="0" w:color="auto"/>
            <w:bottom w:val="none" w:sz="0" w:space="0" w:color="auto"/>
            <w:right w:val="none" w:sz="0" w:space="0" w:color="auto"/>
          </w:divBdr>
        </w:div>
      </w:divsChild>
    </w:div>
    <w:div w:id="1107310771">
      <w:bodyDiv w:val="1"/>
      <w:marLeft w:val="0"/>
      <w:marRight w:val="0"/>
      <w:marTop w:val="0"/>
      <w:marBottom w:val="0"/>
      <w:divBdr>
        <w:top w:val="none" w:sz="0" w:space="0" w:color="auto"/>
        <w:left w:val="none" w:sz="0" w:space="0" w:color="auto"/>
        <w:bottom w:val="none" w:sz="0" w:space="0" w:color="auto"/>
        <w:right w:val="none" w:sz="0" w:space="0" w:color="auto"/>
      </w:divBdr>
    </w:div>
    <w:div w:id="1171334900">
      <w:bodyDiv w:val="1"/>
      <w:marLeft w:val="0"/>
      <w:marRight w:val="0"/>
      <w:marTop w:val="0"/>
      <w:marBottom w:val="0"/>
      <w:divBdr>
        <w:top w:val="none" w:sz="0" w:space="0" w:color="auto"/>
        <w:left w:val="none" w:sz="0" w:space="0" w:color="auto"/>
        <w:bottom w:val="none" w:sz="0" w:space="0" w:color="auto"/>
        <w:right w:val="none" w:sz="0" w:space="0" w:color="auto"/>
      </w:divBdr>
    </w:div>
    <w:div w:id="1174224063">
      <w:bodyDiv w:val="1"/>
      <w:marLeft w:val="0"/>
      <w:marRight w:val="0"/>
      <w:marTop w:val="0"/>
      <w:marBottom w:val="0"/>
      <w:divBdr>
        <w:top w:val="none" w:sz="0" w:space="0" w:color="auto"/>
        <w:left w:val="none" w:sz="0" w:space="0" w:color="auto"/>
        <w:bottom w:val="none" w:sz="0" w:space="0" w:color="auto"/>
        <w:right w:val="none" w:sz="0" w:space="0" w:color="auto"/>
      </w:divBdr>
    </w:div>
    <w:div w:id="1184056492">
      <w:bodyDiv w:val="1"/>
      <w:marLeft w:val="0"/>
      <w:marRight w:val="0"/>
      <w:marTop w:val="0"/>
      <w:marBottom w:val="0"/>
      <w:divBdr>
        <w:top w:val="none" w:sz="0" w:space="0" w:color="auto"/>
        <w:left w:val="none" w:sz="0" w:space="0" w:color="auto"/>
        <w:bottom w:val="none" w:sz="0" w:space="0" w:color="auto"/>
        <w:right w:val="none" w:sz="0" w:space="0" w:color="auto"/>
      </w:divBdr>
    </w:div>
    <w:div w:id="1186407962">
      <w:bodyDiv w:val="1"/>
      <w:marLeft w:val="0"/>
      <w:marRight w:val="0"/>
      <w:marTop w:val="0"/>
      <w:marBottom w:val="0"/>
      <w:divBdr>
        <w:top w:val="none" w:sz="0" w:space="0" w:color="auto"/>
        <w:left w:val="none" w:sz="0" w:space="0" w:color="auto"/>
        <w:bottom w:val="none" w:sz="0" w:space="0" w:color="auto"/>
        <w:right w:val="none" w:sz="0" w:space="0" w:color="auto"/>
      </w:divBdr>
    </w:div>
    <w:div w:id="1187250822">
      <w:bodyDiv w:val="1"/>
      <w:marLeft w:val="0"/>
      <w:marRight w:val="0"/>
      <w:marTop w:val="0"/>
      <w:marBottom w:val="0"/>
      <w:divBdr>
        <w:top w:val="none" w:sz="0" w:space="0" w:color="auto"/>
        <w:left w:val="none" w:sz="0" w:space="0" w:color="auto"/>
        <w:bottom w:val="none" w:sz="0" w:space="0" w:color="auto"/>
        <w:right w:val="none" w:sz="0" w:space="0" w:color="auto"/>
      </w:divBdr>
    </w:div>
    <w:div w:id="1199468198">
      <w:bodyDiv w:val="1"/>
      <w:marLeft w:val="0"/>
      <w:marRight w:val="0"/>
      <w:marTop w:val="0"/>
      <w:marBottom w:val="0"/>
      <w:divBdr>
        <w:top w:val="none" w:sz="0" w:space="0" w:color="auto"/>
        <w:left w:val="none" w:sz="0" w:space="0" w:color="auto"/>
        <w:bottom w:val="none" w:sz="0" w:space="0" w:color="auto"/>
        <w:right w:val="none" w:sz="0" w:space="0" w:color="auto"/>
      </w:divBdr>
    </w:div>
    <w:div w:id="1229608024">
      <w:bodyDiv w:val="1"/>
      <w:marLeft w:val="0"/>
      <w:marRight w:val="0"/>
      <w:marTop w:val="0"/>
      <w:marBottom w:val="0"/>
      <w:divBdr>
        <w:top w:val="none" w:sz="0" w:space="0" w:color="auto"/>
        <w:left w:val="none" w:sz="0" w:space="0" w:color="auto"/>
        <w:bottom w:val="none" w:sz="0" w:space="0" w:color="auto"/>
        <w:right w:val="none" w:sz="0" w:space="0" w:color="auto"/>
      </w:divBdr>
    </w:div>
    <w:div w:id="1237322713">
      <w:bodyDiv w:val="1"/>
      <w:marLeft w:val="0"/>
      <w:marRight w:val="0"/>
      <w:marTop w:val="0"/>
      <w:marBottom w:val="0"/>
      <w:divBdr>
        <w:top w:val="none" w:sz="0" w:space="0" w:color="auto"/>
        <w:left w:val="none" w:sz="0" w:space="0" w:color="auto"/>
        <w:bottom w:val="none" w:sz="0" w:space="0" w:color="auto"/>
        <w:right w:val="none" w:sz="0" w:space="0" w:color="auto"/>
      </w:divBdr>
    </w:div>
    <w:div w:id="1304122825">
      <w:bodyDiv w:val="1"/>
      <w:marLeft w:val="0"/>
      <w:marRight w:val="0"/>
      <w:marTop w:val="0"/>
      <w:marBottom w:val="0"/>
      <w:divBdr>
        <w:top w:val="none" w:sz="0" w:space="0" w:color="auto"/>
        <w:left w:val="none" w:sz="0" w:space="0" w:color="auto"/>
        <w:bottom w:val="none" w:sz="0" w:space="0" w:color="auto"/>
        <w:right w:val="none" w:sz="0" w:space="0" w:color="auto"/>
      </w:divBdr>
    </w:div>
    <w:div w:id="1305505208">
      <w:bodyDiv w:val="1"/>
      <w:marLeft w:val="0"/>
      <w:marRight w:val="0"/>
      <w:marTop w:val="0"/>
      <w:marBottom w:val="0"/>
      <w:divBdr>
        <w:top w:val="none" w:sz="0" w:space="0" w:color="auto"/>
        <w:left w:val="none" w:sz="0" w:space="0" w:color="auto"/>
        <w:bottom w:val="none" w:sz="0" w:space="0" w:color="auto"/>
        <w:right w:val="none" w:sz="0" w:space="0" w:color="auto"/>
      </w:divBdr>
    </w:div>
    <w:div w:id="1324318504">
      <w:bodyDiv w:val="1"/>
      <w:marLeft w:val="0"/>
      <w:marRight w:val="0"/>
      <w:marTop w:val="0"/>
      <w:marBottom w:val="0"/>
      <w:divBdr>
        <w:top w:val="none" w:sz="0" w:space="0" w:color="auto"/>
        <w:left w:val="none" w:sz="0" w:space="0" w:color="auto"/>
        <w:bottom w:val="none" w:sz="0" w:space="0" w:color="auto"/>
        <w:right w:val="none" w:sz="0" w:space="0" w:color="auto"/>
      </w:divBdr>
    </w:div>
    <w:div w:id="1330644931">
      <w:bodyDiv w:val="1"/>
      <w:marLeft w:val="0"/>
      <w:marRight w:val="0"/>
      <w:marTop w:val="0"/>
      <w:marBottom w:val="0"/>
      <w:divBdr>
        <w:top w:val="none" w:sz="0" w:space="0" w:color="auto"/>
        <w:left w:val="none" w:sz="0" w:space="0" w:color="auto"/>
        <w:bottom w:val="none" w:sz="0" w:space="0" w:color="auto"/>
        <w:right w:val="none" w:sz="0" w:space="0" w:color="auto"/>
      </w:divBdr>
    </w:div>
    <w:div w:id="1334915829">
      <w:bodyDiv w:val="1"/>
      <w:marLeft w:val="0"/>
      <w:marRight w:val="0"/>
      <w:marTop w:val="0"/>
      <w:marBottom w:val="0"/>
      <w:divBdr>
        <w:top w:val="none" w:sz="0" w:space="0" w:color="auto"/>
        <w:left w:val="none" w:sz="0" w:space="0" w:color="auto"/>
        <w:bottom w:val="none" w:sz="0" w:space="0" w:color="auto"/>
        <w:right w:val="none" w:sz="0" w:space="0" w:color="auto"/>
      </w:divBdr>
      <w:divsChild>
        <w:div w:id="1374235075">
          <w:marLeft w:val="1440"/>
          <w:marRight w:val="0"/>
          <w:marTop w:val="0"/>
          <w:marBottom w:val="0"/>
          <w:divBdr>
            <w:top w:val="none" w:sz="0" w:space="0" w:color="auto"/>
            <w:left w:val="none" w:sz="0" w:space="0" w:color="auto"/>
            <w:bottom w:val="none" w:sz="0" w:space="0" w:color="auto"/>
            <w:right w:val="none" w:sz="0" w:space="0" w:color="auto"/>
          </w:divBdr>
        </w:div>
        <w:div w:id="1442336232">
          <w:marLeft w:val="1440"/>
          <w:marRight w:val="0"/>
          <w:marTop w:val="0"/>
          <w:marBottom w:val="0"/>
          <w:divBdr>
            <w:top w:val="none" w:sz="0" w:space="0" w:color="auto"/>
            <w:left w:val="none" w:sz="0" w:space="0" w:color="auto"/>
            <w:bottom w:val="none" w:sz="0" w:space="0" w:color="auto"/>
            <w:right w:val="none" w:sz="0" w:space="0" w:color="auto"/>
          </w:divBdr>
        </w:div>
      </w:divsChild>
    </w:div>
    <w:div w:id="1360546625">
      <w:bodyDiv w:val="1"/>
      <w:marLeft w:val="0"/>
      <w:marRight w:val="0"/>
      <w:marTop w:val="0"/>
      <w:marBottom w:val="0"/>
      <w:divBdr>
        <w:top w:val="none" w:sz="0" w:space="0" w:color="auto"/>
        <w:left w:val="none" w:sz="0" w:space="0" w:color="auto"/>
        <w:bottom w:val="none" w:sz="0" w:space="0" w:color="auto"/>
        <w:right w:val="none" w:sz="0" w:space="0" w:color="auto"/>
      </w:divBdr>
      <w:divsChild>
        <w:div w:id="297808575">
          <w:marLeft w:val="446"/>
          <w:marRight w:val="0"/>
          <w:marTop w:val="0"/>
          <w:marBottom w:val="0"/>
          <w:divBdr>
            <w:top w:val="none" w:sz="0" w:space="0" w:color="auto"/>
            <w:left w:val="none" w:sz="0" w:space="0" w:color="auto"/>
            <w:bottom w:val="none" w:sz="0" w:space="0" w:color="auto"/>
            <w:right w:val="none" w:sz="0" w:space="0" w:color="auto"/>
          </w:divBdr>
        </w:div>
        <w:div w:id="957680975">
          <w:marLeft w:val="446"/>
          <w:marRight w:val="0"/>
          <w:marTop w:val="0"/>
          <w:marBottom w:val="0"/>
          <w:divBdr>
            <w:top w:val="none" w:sz="0" w:space="0" w:color="auto"/>
            <w:left w:val="none" w:sz="0" w:space="0" w:color="auto"/>
            <w:bottom w:val="none" w:sz="0" w:space="0" w:color="auto"/>
            <w:right w:val="none" w:sz="0" w:space="0" w:color="auto"/>
          </w:divBdr>
        </w:div>
        <w:div w:id="378821530">
          <w:marLeft w:val="446"/>
          <w:marRight w:val="0"/>
          <w:marTop w:val="0"/>
          <w:marBottom w:val="0"/>
          <w:divBdr>
            <w:top w:val="none" w:sz="0" w:space="0" w:color="auto"/>
            <w:left w:val="none" w:sz="0" w:space="0" w:color="auto"/>
            <w:bottom w:val="none" w:sz="0" w:space="0" w:color="auto"/>
            <w:right w:val="none" w:sz="0" w:space="0" w:color="auto"/>
          </w:divBdr>
        </w:div>
      </w:divsChild>
    </w:div>
    <w:div w:id="1362248842">
      <w:bodyDiv w:val="1"/>
      <w:marLeft w:val="0"/>
      <w:marRight w:val="0"/>
      <w:marTop w:val="0"/>
      <w:marBottom w:val="0"/>
      <w:divBdr>
        <w:top w:val="none" w:sz="0" w:space="0" w:color="auto"/>
        <w:left w:val="none" w:sz="0" w:space="0" w:color="auto"/>
        <w:bottom w:val="none" w:sz="0" w:space="0" w:color="auto"/>
        <w:right w:val="none" w:sz="0" w:space="0" w:color="auto"/>
      </w:divBdr>
      <w:divsChild>
        <w:div w:id="1936015842">
          <w:marLeft w:val="720"/>
          <w:marRight w:val="0"/>
          <w:marTop w:val="120"/>
          <w:marBottom w:val="0"/>
          <w:divBdr>
            <w:top w:val="none" w:sz="0" w:space="0" w:color="auto"/>
            <w:left w:val="none" w:sz="0" w:space="0" w:color="auto"/>
            <w:bottom w:val="none" w:sz="0" w:space="0" w:color="auto"/>
            <w:right w:val="none" w:sz="0" w:space="0" w:color="auto"/>
          </w:divBdr>
        </w:div>
        <w:div w:id="1907571968">
          <w:marLeft w:val="720"/>
          <w:marRight w:val="0"/>
          <w:marTop w:val="120"/>
          <w:marBottom w:val="0"/>
          <w:divBdr>
            <w:top w:val="none" w:sz="0" w:space="0" w:color="auto"/>
            <w:left w:val="none" w:sz="0" w:space="0" w:color="auto"/>
            <w:bottom w:val="none" w:sz="0" w:space="0" w:color="auto"/>
            <w:right w:val="none" w:sz="0" w:space="0" w:color="auto"/>
          </w:divBdr>
        </w:div>
      </w:divsChild>
    </w:div>
    <w:div w:id="1366441165">
      <w:bodyDiv w:val="1"/>
      <w:marLeft w:val="0"/>
      <w:marRight w:val="0"/>
      <w:marTop w:val="0"/>
      <w:marBottom w:val="0"/>
      <w:divBdr>
        <w:top w:val="none" w:sz="0" w:space="0" w:color="auto"/>
        <w:left w:val="none" w:sz="0" w:space="0" w:color="auto"/>
        <w:bottom w:val="none" w:sz="0" w:space="0" w:color="auto"/>
        <w:right w:val="none" w:sz="0" w:space="0" w:color="auto"/>
      </w:divBdr>
    </w:div>
    <w:div w:id="1369448015">
      <w:bodyDiv w:val="1"/>
      <w:marLeft w:val="0"/>
      <w:marRight w:val="0"/>
      <w:marTop w:val="0"/>
      <w:marBottom w:val="0"/>
      <w:divBdr>
        <w:top w:val="none" w:sz="0" w:space="0" w:color="auto"/>
        <w:left w:val="none" w:sz="0" w:space="0" w:color="auto"/>
        <w:bottom w:val="none" w:sz="0" w:space="0" w:color="auto"/>
        <w:right w:val="none" w:sz="0" w:space="0" w:color="auto"/>
      </w:divBdr>
    </w:div>
    <w:div w:id="1373455435">
      <w:bodyDiv w:val="1"/>
      <w:marLeft w:val="0"/>
      <w:marRight w:val="0"/>
      <w:marTop w:val="0"/>
      <w:marBottom w:val="0"/>
      <w:divBdr>
        <w:top w:val="none" w:sz="0" w:space="0" w:color="auto"/>
        <w:left w:val="none" w:sz="0" w:space="0" w:color="auto"/>
        <w:bottom w:val="none" w:sz="0" w:space="0" w:color="auto"/>
        <w:right w:val="none" w:sz="0" w:space="0" w:color="auto"/>
      </w:divBdr>
      <w:divsChild>
        <w:div w:id="627129813">
          <w:marLeft w:val="720"/>
          <w:marRight w:val="0"/>
          <w:marTop w:val="120"/>
          <w:marBottom w:val="0"/>
          <w:divBdr>
            <w:top w:val="none" w:sz="0" w:space="0" w:color="auto"/>
            <w:left w:val="none" w:sz="0" w:space="0" w:color="auto"/>
            <w:bottom w:val="none" w:sz="0" w:space="0" w:color="auto"/>
            <w:right w:val="none" w:sz="0" w:space="0" w:color="auto"/>
          </w:divBdr>
        </w:div>
        <w:div w:id="1182276079">
          <w:marLeft w:val="1440"/>
          <w:marRight w:val="0"/>
          <w:marTop w:val="0"/>
          <w:marBottom w:val="0"/>
          <w:divBdr>
            <w:top w:val="none" w:sz="0" w:space="0" w:color="auto"/>
            <w:left w:val="none" w:sz="0" w:space="0" w:color="auto"/>
            <w:bottom w:val="none" w:sz="0" w:space="0" w:color="auto"/>
            <w:right w:val="none" w:sz="0" w:space="0" w:color="auto"/>
          </w:divBdr>
        </w:div>
        <w:div w:id="1796757672">
          <w:marLeft w:val="1440"/>
          <w:marRight w:val="0"/>
          <w:marTop w:val="0"/>
          <w:marBottom w:val="0"/>
          <w:divBdr>
            <w:top w:val="none" w:sz="0" w:space="0" w:color="auto"/>
            <w:left w:val="none" w:sz="0" w:space="0" w:color="auto"/>
            <w:bottom w:val="none" w:sz="0" w:space="0" w:color="auto"/>
            <w:right w:val="none" w:sz="0" w:space="0" w:color="auto"/>
          </w:divBdr>
        </w:div>
      </w:divsChild>
    </w:div>
    <w:div w:id="1389260550">
      <w:bodyDiv w:val="1"/>
      <w:marLeft w:val="0"/>
      <w:marRight w:val="0"/>
      <w:marTop w:val="0"/>
      <w:marBottom w:val="0"/>
      <w:divBdr>
        <w:top w:val="none" w:sz="0" w:space="0" w:color="auto"/>
        <w:left w:val="none" w:sz="0" w:space="0" w:color="auto"/>
        <w:bottom w:val="none" w:sz="0" w:space="0" w:color="auto"/>
        <w:right w:val="none" w:sz="0" w:space="0" w:color="auto"/>
      </w:divBdr>
    </w:div>
    <w:div w:id="1411346067">
      <w:bodyDiv w:val="1"/>
      <w:marLeft w:val="0"/>
      <w:marRight w:val="0"/>
      <w:marTop w:val="0"/>
      <w:marBottom w:val="0"/>
      <w:divBdr>
        <w:top w:val="none" w:sz="0" w:space="0" w:color="auto"/>
        <w:left w:val="none" w:sz="0" w:space="0" w:color="auto"/>
        <w:bottom w:val="none" w:sz="0" w:space="0" w:color="auto"/>
        <w:right w:val="none" w:sz="0" w:space="0" w:color="auto"/>
      </w:divBdr>
    </w:div>
    <w:div w:id="1425226470">
      <w:bodyDiv w:val="1"/>
      <w:marLeft w:val="0"/>
      <w:marRight w:val="0"/>
      <w:marTop w:val="0"/>
      <w:marBottom w:val="0"/>
      <w:divBdr>
        <w:top w:val="none" w:sz="0" w:space="0" w:color="auto"/>
        <w:left w:val="none" w:sz="0" w:space="0" w:color="auto"/>
        <w:bottom w:val="none" w:sz="0" w:space="0" w:color="auto"/>
        <w:right w:val="none" w:sz="0" w:space="0" w:color="auto"/>
      </w:divBdr>
      <w:divsChild>
        <w:div w:id="1289970604">
          <w:marLeft w:val="720"/>
          <w:marRight w:val="0"/>
          <w:marTop w:val="120"/>
          <w:marBottom w:val="0"/>
          <w:divBdr>
            <w:top w:val="none" w:sz="0" w:space="0" w:color="auto"/>
            <w:left w:val="none" w:sz="0" w:space="0" w:color="auto"/>
            <w:bottom w:val="none" w:sz="0" w:space="0" w:color="auto"/>
            <w:right w:val="none" w:sz="0" w:space="0" w:color="auto"/>
          </w:divBdr>
        </w:div>
      </w:divsChild>
    </w:div>
    <w:div w:id="1447382998">
      <w:bodyDiv w:val="1"/>
      <w:marLeft w:val="0"/>
      <w:marRight w:val="0"/>
      <w:marTop w:val="0"/>
      <w:marBottom w:val="0"/>
      <w:divBdr>
        <w:top w:val="none" w:sz="0" w:space="0" w:color="auto"/>
        <w:left w:val="none" w:sz="0" w:space="0" w:color="auto"/>
        <w:bottom w:val="none" w:sz="0" w:space="0" w:color="auto"/>
        <w:right w:val="none" w:sz="0" w:space="0" w:color="auto"/>
      </w:divBdr>
    </w:div>
    <w:div w:id="1447770845">
      <w:bodyDiv w:val="1"/>
      <w:marLeft w:val="0"/>
      <w:marRight w:val="0"/>
      <w:marTop w:val="0"/>
      <w:marBottom w:val="0"/>
      <w:divBdr>
        <w:top w:val="none" w:sz="0" w:space="0" w:color="auto"/>
        <w:left w:val="none" w:sz="0" w:space="0" w:color="auto"/>
        <w:bottom w:val="none" w:sz="0" w:space="0" w:color="auto"/>
        <w:right w:val="none" w:sz="0" w:space="0" w:color="auto"/>
      </w:divBdr>
    </w:div>
    <w:div w:id="1451973547">
      <w:bodyDiv w:val="1"/>
      <w:marLeft w:val="0"/>
      <w:marRight w:val="0"/>
      <w:marTop w:val="0"/>
      <w:marBottom w:val="0"/>
      <w:divBdr>
        <w:top w:val="none" w:sz="0" w:space="0" w:color="auto"/>
        <w:left w:val="none" w:sz="0" w:space="0" w:color="auto"/>
        <w:bottom w:val="none" w:sz="0" w:space="0" w:color="auto"/>
        <w:right w:val="none" w:sz="0" w:space="0" w:color="auto"/>
      </w:divBdr>
    </w:div>
    <w:div w:id="1455367766">
      <w:bodyDiv w:val="1"/>
      <w:marLeft w:val="0"/>
      <w:marRight w:val="0"/>
      <w:marTop w:val="0"/>
      <w:marBottom w:val="0"/>
      <w:divBdr>
        <w:top w:val="none" w:sz="0" w:space="0" w:color="auto"/>
        <w:left w:val="none" w:sz="0" w:space="0" w:color="auto"/>
        <w:bottom w:val="none" w:sz="0" w:space="0" w:color="auto"/>
        <w:right w:val="none" w:sz="0" w:space="0" w:color="auto"/>
      </w:divBdr>
    </w:div>
    <w:div w:id="1468620879">
      <w:bodyDiv w:val="1"/>
      <w:marLeft w:val="0"/>
      <w:marRight w:val="0"/>
      <w:marTop w:val="0"/>
      <w:marBottom w:val="0"/>
      <w:divBdr>
        <w:top w:val="none" w:sz="0" w:space="0" w:color="auto"/>
        <w:left w:val="none" w:sz="0" w:space="0" w:color="auto"/>
        <w:bottom w:val="none" w:sz="0" w:space="0" w:color="auto"/>
        <w:right w:val="none" w:sz="0" w:space="0" w:color="auto"/>
      </w:divBdr>
    </w:div>
    <w:div w:id="1492256151">
      <w:bodyDiv w:val="1"/>
      <w:marLeft w:val="0"/>
      <w:marRight w:val="0"/>
      <w:marTop w:val="0"/>
      <w:marBottom w:val="0"/>
      <w:divBdr>
        <w:top w:val="none" w:sz="0" w:space="0" w:color="auto"/>
        <w:left w:val="none" w:sz="0" w:space="0" w:color="auto"/>
        <w:bottom w:val="none" w:sz="0" w:space="0" w:color="auto"/>
        <w:right w:val="none" w:sz="0" w:space="0" w:color="auto"/>
      </w:divBdr>
    </w:div>
    <w:div w:id="1501314363">
      <w:bodyDiv w:val="1"/>
      <w:marLeft w:val="0"/>
      <w:marRight w:val="0"/>
      <w:marTop w:val="0"/>
      <w:marBottom w:val="0"/>
      <w:divBdr>
        <w:top w:val="none" w:sz="0" w:space="0" w:color="auto"/>
        <w:left w:val="none" w:sz="0" w:space="0" w:color="auto"/>
        <w:bottom w:val="none" w:sz="0" w:space="0" w:color="auto"/>
        <w:right w:val="none" w:sz="0" w:space="0" w:color="auto"/>
      </w:divBdr>
    </w:div>
    <w:div w:id="1502625681">
      <w:bodyDiv w:val="1"/>
      <w:marLeft w:val="0"/>
      <w:marRight w:val="0"/>
      <w:marTop w:val="0"/>
      <w:marBottom w:val="0"/>
      <w:divBdr>
        <w:top w:val="none" w:sz="0" w:space="0" w:color="auto"/>
        <w:left w:val="none" w:sz="0" w:space="0" w:color="auto"/>
        <w:bottom w:val="none" w:sz="0" w:space="0" w:color="auto"/>
        <w:right w:val="none" w:sz="0" w:space="0" w:color="auto"/>
      </w:divBdr>
    </w:div>
    <w:div w:id="1519806989">
      <w:bodyDiv w:val="1"/>
      <w:marLeft w:val="0"/>
      <w:marRight w:val="0"/>
      <w:marTop w:val="0"/>
      <w:marBottom w:val="0"/>
      <w:divBdr>
        <w:top w:val="none" w:sz="0" w:space="0" w:color="auto"/>
        <w:left w:val="none" w:sz="0" w:space="0" w:color="auto"/>
        <w:bottom w:val="none" w:sz="0" w:space="0" w:color="auto"/>
        <w:right w:val="none" w:sz="0" w:space="0" w:color="auto"/>
      </w:divBdr>
    </w:div>
    <w:div w:id="1521696757">
      <w:bodyDiv w:val="1"/>
      <w:marLeft w:val="0"/>
      <w:marRight w:val="0"/>
      <w:marTop w:val="0"/>
      <w:marBottom w:val="0"/>
      <w:divBdr>
        <w:top w:val="none" w:sz="0" w:space="0" w:color="auto"/>
        <w:left w:val="none" w:sz="0" w:space="0" w:color="auto"/>
        <w:bottom w:val="none" w:sz="0" w:space="0" w:color="auto"/>
        <w:right w:val="none" w:sz="0" w:space="0" w:color="auto"/>
      </w:divBdr>
    </w:div>
    <w:div w:id="1529566849">
      <w:bodyDiv w:val="1"/>
      <w:marLeft w:val="0"/>
      <w:marRight w:val="0"/>
      <w:marTop w:val="0"/>
      <w:marBottom w:val="0"/>
      <w:divBdr>
        <w:top w:val="none" w:sz="0" w:space="0" w:color="auto"/>
        <w:left w:val="none" w:sz="0" w:space="0" w:color="auto"/>
        <w:bottom w:val="none" w:sz="0" w:space="0" w:color="auto"/>
        <w:right w:val="none" w:sz="0" w:space="0" w:color="auto"/>
      </w:divBdr>
    </w:div>
    <w:div w:id="1532113194">
      <w:bodyDiv w:val="1"/>
      <w:marLeft w:val="0"/>
      <w:marRight w:val="0"/>
      <w:marTop w:val="0"/>
      <w:marBottom w:val="0"/>
      <w:divBdr>
        <w:top w:val="none" w:sz="0" w:space="0" w:color="auto"/>
        <w:left w:val="none" w:sz="0" w:space="0" w:color="auto"/>
        <w:bottom w:val="none" w:sz="0" w:space="0" w:color="auto"/>
        <w:right w:val="none" w:sz="0" w:space="0" w:color="auto"/>
      </w:divBdr>
    </w:div>
    <w:div w:id="1555510168">
      <w:bodyDiv w:val="1"/>
      <w:marLeft w:val="0"/>
      <w:marRight w:val="0"/>
      <w:marTop w:val="0"/>
      <w:marBottom w:val="0"/>
      <w:divBdr>
        <w:top w:val="none" w:sz="0" w:space="0" w:color="auto"/>
        <w:left w:val="none" w:sz="0" w:space="0" w:color="auto"/>
        <w:bottom w:val="none" w:sz="0" w:space="0" w:color="auto"/>
        <w:right w:val="none" w:sz="0" w:space="0" w:color="auto"/>
      </w:divBdr>
    </w:div>
    <w:div w:id="1555694484">
      <w:bodyDiv w:val="1"/>
      <w:marLeft w:val="0"/>
      <w:marRight w:val="0"/>
      <w:marTop w:val="0"/>
      <w:marBottom w:val="0"/>
      <w:divBdr>
        <w:top w:val="none" w:sz="0" w:space="0" w:color="auto"/>
        <w:left w:val="none" w:sz="0" w:space="0" w:color="auto"/>
        <w:bottom w:val="none" w:sz="0" w:space="0" w:color="auto"/>
        <w:right w:val="none" w:sz="0" w:space="0" w:color="auto"/>
      </w:divBdr>
      <w:divsChild>
        <w:div w:id="1194535648">
          <w:marLeft w:val="720"/>
          <w:marRight w:val="0"/>
          <w:marTop w:val="120"/>
          <w:marBottom w:val="0"/>
          <w:divBdr>
            <w:top w:val="none" w:sz="0" w:space="0" w:color="auto"/>
            <w:left w:val="none" w:sz="0" w:space="0" w:color="auto"/>
            <w:bottom w:val="none" w:sz="0" w:space="0" w:color="auto"/>
            <w:right w:val="none" w:sz="0" w:space="0" w:color="auto"/>
          </w:divBdr>
        </w:div>
      </w:divsChild>
    </w:div>
    <w:div w:id="1636451504">
      <w:bodyDiv w:val="1"/>
      <w:marLeft w:val="0"/>
      <w:marRight w:val="0"/>
      <w:marTop w:val="0"/>
      <w:marBottom w:val="0"/>
      <w:divBdr>
        <w:top w:val="none" w:sz="0" w:space="0" w:color="auto"/>
        <w:left w:val="none" w:sz="0" w:space="0" w:color="auto"/>
        <w:bottom w:val="none" w:sz="0" w:space="0" w:color="auto"/>
        <w:right w:val="none" w:sz="0" w:space="0" w:color="auto"/>
      </w:divBdr>
      <w:divsChild>
        <w:div w:id="1257860209">
          <w:marLeft w:val="720"/>
          <w:marRight w:val="0"/>
          <w:marTop w:val="120"/>
          <w:marBottom w:val="0"/>
          <w:divBdr>
            <w:top w:val="none" w:sz="0" w:space="0" w:color="auto"/>
            <w:left w:val="none" w:sz="0" w:space="0" w:color="auto"/>
            <w:bottom w:val="none" w:sz="0" w:space="0" w:color="auto"/>
            <w:right w:val="none" w:sz="0" w:space="0" w:color="auto"/>
          </w:divBdr>
        </w:div>
        <w:div w:id="852954743">
          <w:marLeft w:val="720"/>
          <w:marRight w:val="0"/>
          <w:marTop w:val="120"/>
          <w:marBottom w:val="0"/>
          <w:divBdr>
            <w:top w:val="none" w:sz="0" w:space="0" w:color="auto"/>
            <w:left w:val="none" w:sz="0" w:space="0" w:color="auto"/>
            <w:bottom w:val="none" w:sz="0" w:space="0" w:color="auto"/>
            <w:right w:val="none" w:sz="0" w:space="0" w:color="auto"/>
          </w:divBdr>
        </w:div>
        <w:div w:id="1395733266">
          <w:marLeft w:val="720"/>
          <w:marRight w:val="0"/>
          <w:marTop w:val="120"/>
          <w:marBottom w:val="0"/>
          <w:divBdr>
            <w:top w:val="none" w:sz="0" w:space="0" w:color="auto"/>
            <w:left w:val="none" w:sz="0" w:space="0" w:color="auto"/>
            <w:bottom w:val="none" w:sz="0" w:space="0" w:color="auto"/>
            <w:right w:val="none" w:sz="0" w:space="0" w:color="auto"/>
          </w:divBdr>
        </w:div>
      </w:divsChild>
    </w:div>
    <w:div w:id="1656034667">
      <w:bodyDiv w:val="1"/>
      <w:marLeft w:val="0"/>
      <w:marRight w:val="0"/>
      <w:marTop w:val="0"/>
      <w:marBottom w:val="0"/>
      <w:divBdr>
        <w:top w:val="none" w:sz="0" w:space="0" w:color="auto"/>
        <w:left w:val="none" w:sz="0" w:space="0" w:color="auto"/>
        <w:bottom w:val="none" w:sz="0" w:space="0" w:color="auto"/>
        <w:right w:val="none" w:sz="0" w:space="0" w:color="auto"/>
      </w:divBdr>
      <w:divsChild>
        <w:div w:id="298651945">
          <w:marLeft w:val="720"/>
          <w:marRight w:val="0"/>
          <w:marTop w:val="120"/>
          <w:marBottom w:val="0"/>
          <w:divBdr>
            <w:top w:val="none" w:sz="0" w:space="0" w:color="auto"/>
            <w:left w:val="none" w:sz="0" w:space="0" w:color="auto"/>
            <w:bottom w:val="none" w:sz="0" w:space="0" w:color="auto"/>
            <w:right w:val="none" w:sz="0" w:space="0" w:color="auto"/>
          </w:divBdr>
        </w:div>
      </w:divsChild>
    </w:div>
    <w:div w:id="1674911452">
      <w:bodyDiv w:val="1"/>
      <w:marLeft w:val="0"/>
      <w:marRight w:val="0"/>
      <w:marTop w:val="0"/>
      <w:marBottom w:val="0"/>
      <w:divBdr>
        <w:top w:val="none" w:sz="0" w:space="0" w:color="auto"/>
        <w:left w:val="none" w:sz="0" w:space="0" w:color="auto"/>
        <w:bottom w:val="none" w:sz="0" w:space="0" w:color="auto"/>
        <w:right w:val="none" w:sz="0" w:space="0" w:color="auto"/>
      </w:divBdr>
    </w:div>
    <w:div w:id="1678654214">
      <w:bodyDiv w:val="1"/>
      <w:marLeft w:val="0"/>
      <w:marRight w:val="0"/>
      <w:marTop w:val="0"/>
      <w:marBottom w:val="0"/>
      <w:divBdr>
        <w:top w:val="none" w:sz="0" w:space="0" w:color="auto"/>
        <w:left w:val="none" w:sz="0" w:space="0" w:color="auto"/>
        <w:bottom w:val="none" w:sz="0" w:space="0" w:color="auto"/>
        <w:right w:val="none" w:sz="0" w:space="0" w:color="auto"/>
      </w:divBdr>
    </w:div>
    <w:div w:id="1686320468">
      <w:bodyDiv w:val="1"/>
      <w:marLeft w:val="0"/>
      <w:marRight w:val="0"/>
      <w:marTop w:val="0"/>
      <w:marBottom w:val="0"/>
      <w:divBdr>
        <w:top w:val="none" w:sz="0" w:space="0" w:color="auto"/>
        <w:left w:val="none" w:sz="0" w:space="0" w:color="auto"/>
        <w:bottom w:val="none" w:sz="0" w:space="0" w:color="auto"/>
        <w:right w:val="none" w:sz="0" w:space="0" w:color="auto"/>
      </w:divBdr>
      <w:divsChild>
        <w:div w:id="2110541829">
          <w:marLeft w:val="720"/>
          <w:marRight w:val="0"/>
          <w:marTop w:val="120"/>
          <w:marBottom w:val="0"/>
          <w:divBdr>
            <w:top w:val="none" w:sz="0" w:space="0" w:color="auto"/>
            <w:left w:val="none" w:sz="0" w:space="0" w:color="auto"/>
            <w:bottom w:val="none" w:sz="0" w:space="0" w:color="auto"/>
            <w:right w:val="none" w:sz="0" w:space="0" w:color="auto"/>
          </w:divBdr>
        </w:div>
      </w:divsChild>
    </w:div>
    <w:div w:id="1701710900">
      <w:bodyDiv w:val="1"/>
      <w:marLeft w:val="0"/>
      <w:marRight w:val="0"/>
      <w:marTop w:val="0"/>
      <w:marBottom w:val="0"/>
      <w:divBdr>
        <w:top w:val="none" w:sz="0" w:space="0" w:color="auto"/>
        <w:left w:val="none" w:sz="0" w:space="0" w:color="auto"/>
        <w:bottom w:val="none" w:sz="0" w:space="0" w:color="auto"/>
        <w:right w:val="none" w:sz="0" w:space="0" w:color="auto"/>
      </w:divBdr>
    </w:div>
    <w:div w:id="1721317909">
      <w:bodyDiv w:val="1"/>
      <w:marLeft w:val="0"/>
      <w:marRight w:val="0"/>
      <w:marTop w:val="0"/>
      <w:marBottom w:val="0"/>
      <w:divBdr>
        <w:top w:val="none" w:sz="0" w:space="0" w:color="auto"/>
        <w:left w:val="none" w:sz="0" w:space="0" w:color="auto"/>
        <w:bottom w:val="none" w:sz="0" w:space="0" w:color="auto"/>
        <w:right w:val="none" w:sz="0" w:space="0" w:color="auto"/>
      </w:divBdr>
    </w:div>
    <w:div w:id="1735200265">
      <w:bodyDiv w:val="1"/>
      <w:marLeft w:val="0"/>
      <w:marRight w:val="0"/>
      <w:marTop w:val="0"/>
      <w:marBottom w:val="0"/>
      <w:divBdr>
        <w:top w:val="none" w:sz="0" w:space="0" w:color="auto"/>
        <w:left w:val="none" w:sz="0" w:space="0" w:color="auto"/>
        <w:bottom w:val="none" w:sz="0" w:space="0" w:color="auto"/>
        <w:right w:val="none" w:sz="0" w:space="0" w:color="auto"/>
      </w:divBdr>
    </w:div>
    <w:div w:id="1747650288">
      <w:bodyDiv w:val="1"/>
      <w:marLeft w:val="0"/>
      <w:marRight w:val="0"/>
      <w:marTop w:val="0"/>
      <w:marBottom w:val="0"/>
      <w:divBdr>
        <w:top w:val="none" w:sz="0" w:space="0" w:color="auto"/>
        <w:left w:val="none" w:sz="0" w:space="0" w:color="auto"/>
        <w:bottom w:val="none" w:sz="0" w:space="0" w:color="auto"/>
        <w:right w:val="none" w:sz="0" w:space="0" w:color="auto"/>
      </w:divBdr>
    </w:div>
    <w:div w:id="1756703257">
      <w:bodyDiv w:val="1"/>
      <w:marLeft w:val="0"/>
      <w:marRight w:val="0"/>
      <w:marTop w:val="0"/>
      <w:marBottom w:val="0"/>
      <w:divBdr>
        <w:top w:val="none" w:sz="0" w:space="0" w:color="auto"/>
        <w:left w:val="none" w:sz="0" w:space="0" w:color="auto"/>
        <w:bottom w:val="none" w:sz="0" w:space="0" w:color="auto"/>
        <w:right w:val="none" w:sz="0" w:space="0" w:color="auto"/>
      </w:divBdr>
    </w:div>
    <w:div w:id="1792047389">
      <w:bodyDiv w:val="1"/>
      <w:marLeft w:val="0"/>
      <w:marRight w:val="0"/>
      <w:marTop w:val="0"/>
      <w:marBottom w:val="0"/>
      <w:divBdr>
        <w:top w:val="none" w:sz="0" w:space="0" w:color="auto"/>
        <w:left w:val="none" w:sz="0" w:space="0" w:color="auto"/>
        <w:bottom w:val="none" w:sz="0" w:space="0" w:color="auto"/>
        <w:right w:val="none" w:sz="0" w:space="0" w:color="auto"/>
      </w:divBdr>
    </w:div>
    <w:div w:id="1803111014">
      <w:bodyDiv w:val="1"/>
      <w:marLeft w:val="0"/>
      <w:marRight w:val="0"/>
      <w:marTop w:val="0"/>
      <w:marBottom w:val="0"/>
      <w:divBdr>
        <w:top w:val="none" w:sz="0" w:space="0" w:color="auto"/>
        <w:left w:val="none" w:sz="0" w:space="0" w:color="auto"/>
        <w:bottom w:val="none" w:sz="0" w:space="0" w:color="auto"/>
        <w:right w:val="none" w:sz="0" w:space="0" w:color="auto"/>
      </w:divBdr>
    </w:div>
    <w:div w:id="1805076653">
      <w:bodyDiv w:val="1"/>
      <w:marLeft w:val="0"/>
      <w:marRight w:val="0"/>
      <w:marTop w:val="0"/>
      <w:marBottom w:val="0"/>
      <w:divBdr>
        <w:top w:val="none" w:sz="0" w:space="0" w:color="auto"/>
        <w:left w:val="none" w:sz="0" w:space="0" w:color="auto"/>
        <w:bottom w:val="none" w:sz="0" w:space="0" w:color="auto"/>
        <w:right w:val="none" w:sz="0" w:space="0" w:color="auto"/>
      </w:divBdr>
    </w:div>
    <w:div w:id="1859074708">
      <w:bodyDiv w:val="1"/>
      <w:marLeft w:val="0"/>
      <w:marRight w:val="0"/>
      <w:marTop w:val="0"/>
      <w:marBottom w:val="0"/>
      <w:divBdr>
        <w:top w:val="none" w:sz="0" w:space="0" w:color="auto"/>
        <w:left w:val="none" w:sz="0" w:space="0" w:color="auto"/>
        <w:bottom w:val="none" w:sz="0" w:space="0" w:color="auto"/>
        <w:right w:val="none" w:sz="0" w:space="0" w:color="auto"/>
      </w:divBdr>
      <w:divsChild>
        <w:div w:id="354497713">
          <w:marLeft w:val="1440"/>
          <w:marRight w:val="0"/>
          <w:marTop w:val="0"/>
          <w:marBottom w:val="0"/>
          <w:divBdr>
            <w:top w:val="none" w:sz="0" w:space="0" w:color="auto"/>
            <w:left w:val="none" w:sz="0" w:space="0" w:color="auto"/>
            <w:bottom w:val="none" w:sz="0" w:space="0" w:color="auto"/>
            <w:right w:val="none" w:sz="0" w:space="0" w:color="auto"/>
          </w:divBdr>
        </w:div>
        <w:div w:id="537593063">
          <w:marLeft w:val="1440"/>
          <w:marRight w:val="0"/>
          <w:marTop w:val="0"/>
          <w:marBottom w:val="0"/>
          <w:divBdr>
            <w:top w:val="none" w:sz="0" w:space="0" w:color="auto"/>
            <w:left w:val="none" w:sz="0" w:space="0" w:color="auto"/>
            <w:bottom w:val="none" w:sz="0" w:space="0" w:color="auto"/>
            <w:right w:val="none" w:sz="0" w:space="0" w:color="auto"/>
          </w:divBdr>
        </w:div>
        <w:div w:id="2096590210">
          <w:marLeft w:val="1440"/>
          <w:marRight w:val="0"/>
          <w:marTop w:val="0"/>
          <w:marBottom w:val="0"/>
          <w:divBdr>
            <w:top w:val="none" w:sz="0" w:space="0" w:color="auto"/>
            <w:left w:val="none" w:sz="0" w:space="0" w:color="auto"/>
            <w:bottom w:val="none" w:sz="0" w:space="0" w:color="auto"/>
            <w:right w:val="none" w:sz="0" w:space="0" w:color="auto"/>
          </w:divBdr>
        </w:div>
        <w:div w:id="481240114">
          <w:marLeft w:val="1440"/>
          <w:marRight w:val="0"/>
          <w:marTop w:val="0"/>
          <w:marBottom w:val="0"/>
          <w:divBdr>
            <w:top w:val="none" w:sz="0" w:space="0" w:color="auto"/>
            <w:left w:val="none" w:sz="0" w:space="0" w:color="auto"/>
            <w:bottom w:val="none" w:sz="0" w:space="0" w:color="auto"/>
            <w:right w:val="none" w:sz="0" w:space="0" w:color="auto"/>
          </w:divBdr>
        </w:div>
        <w:div w:id="296492866">
          <w:marLeft w:val="1440"/>
          <w:marRight w:val="0"/>
          <w:marTop w:val="0"/>
          <w:marBottom w:val="0"/>
          <w:divBdr>
            <w:top w:val="none" w:sz="0" w:space="0" w:color="auto"/>
            <w:left w:val="none" w:sz="0" w:space="0" w:color="auto"/>
            <w:bottom w:val="none" w:sz="0" w:space="0" w:color="auto"/>
            <w:right w:val="none" w:sz="0" w:space="0" w:color="auto"/>
          </w:divBdr>
        </w:div>
        <w:div w:id="284434073">
          <w:marLeft w:val="1440"/>
          <w:marRight w:val="0"/>
          <w:marTop w:val="0"/>
          <w:marBottom w:val="0"/>
          <w:divBdr>
            <w:top w:val="none" w:sz="0" w:space="0" w:color="auto"/>
            <w:left w:val="none" w:sz="0" w:space="0" w:color="auto"/>
            <w:bottom w:val="none" w:sz="0" w:space="0" w:color="auto"/>
            <w:right w:val="none" w:sz="0" w:space="0" w:color="auto"/>
          </w:divBdr>
        </w:div>
        <w:div w:id="2140999911">
          <w:marLeft w:val="1440"/>
          <w:marRight w:val="0"/>
          <w:marTop w:val="0"/>
          <w:marBottom w:val="0"/>
          <w:divBdr>
            <w:top w:val="none" w:sz="0" w:space="0" w:color="auto"/>
            <w:left w:val="none" w:sz="0" w:space="0" w:color="auto"/>
            <w:bottom w:val="none" w:sz="0" w:space="0" w:color="auto"/>
            <w:right w:val="none" w:sz="0" w:space="0" w:color="auto"/>
          </w:divBdr>
        </w:div>
      </w:divsChild>
    </w:div>
    <w:div w:id="1872692723">
      <w:bodyDiv w:val="1"/>
      <w:marLeft w:val="0"/>
      <w:marRight w:val="0"/>
      <w:marTop w:val="0"/>
      <w:marBottom w:val="0"/>
      <w:divBdr>
        <w:top w:val="none" w:sz="0" w:space="0" w:color="auto"/>
        <w:left w:val="none" w:sz="0" w:space="0" w:color="auto"/>
        <w:bottom w:val="none" w:sz="0" w:space="0" w:color="auto"/>
        <w:right w:val="none" w:sz="0" w:space="0" w:color="auto"/>
      </w:divBdr>
    </w:div>
    <w:div w:id="1878883685">
      <w:bodyDiv w:val="1"/>
      <w:marLeft w:val="0"/>
      <w:marRight w:val="0"/>
      <w:marTop w:val="0"/>
      <w:marBottom w:val="0"/>
      <w:divBdr>
        <w:top w:val="none" w:sz="0" w:space="0" w:color="auto"/>
        <w:left w:val="none" w:sz="0" w:space="0" w:color="auto"/>
        <w:bottom w:val="none" w:sz="0" w:space="0" w:color="auto"/>
        <w:right w:val="none" w:sz="0" w:space="0" w:color="auto"/>
      </w:divBdr>
    </w:div>
    <w:div w:id="1887177781">
      <w:bodyDiv w:val="1"/>
      <w:marLeft w:val="0"/>
      <w:marRight w:val="0"/>
      <w:marTop w:val="0"/>
      <w:marBottom w:val="0"/>
      <w:divBdr>
        <w:top w:val="none" w:sz="0" w:space="0" w:color="auto"/>
        <w:left w:val="none" w:sz="0" w:space="0" w:color="auto"/>
        <w:bottom w:val="none" w:sz="0" w:space="0" w:color="auto"/>
        <w:right w:val="none" w:sz="0" w:space="0" w:color="auto"/>
      </w:divBdr>
      <w:divsChild>
        <w:div w:id="725837526">
          <w:marLeft w:val="1440"/>
          <w:marRight w:val="0"/>
          <w:marTop w:val="0"/>
          <w:marBottom w:val="0"/>
          <w:divBdr>
            <w:top w:val="none" w:sz="0" w:space="0" w:color="auto"/>
            <w:left w:val="none" w:sz="0" w:space="0" w:color="auto"/>
            <w:bottom w:val="none" w:sz="0" w:space="0" w:color="auto"/>
            <w:right w:val="none" w:sz="0" w:space="0" w:color="auto"/>
          </w:divBdr>
        </w:div>
        <w:div w:id="688599682">
          <w:marLeft w:val="1440"/>
          <w:marRight w:val="0"/>
          <w:marTop w:val="0"/>
          <w:marBottom w:val="0"/>
          <w:divBdr>
            <w:top w:val="none" w:sz="0" w:space="0" w:color="auto"/>
            <w:left w:val="none" w:sz="0" w:space="0" w:color="auto"/>
            <w:bottom w:val="none" w:sz="0" w:space="0" w:color="auto"/>
            <w:right w:val="none" w:sz="0" w:space="0" w:color="auto"/>
          </w:divBdr>
        </w:div>
        <w:div w:id="1071081670">
          <w:marLeft w:val="1440"/>
          <w:marRight w:val="0"/>
          <w:marTop w:val="0"/>
          <w:marBottom w:val="0"/>
          <w:divBdr>
            <w:top w:val="none" w:sz="0" w:space="0" w:color="auto"/>
            <w:left w:val="none" w:sz="0" w:space="0" w:color="auto"/>
            <w:bottom w:val="none" w:sz="0" w:space="0" w:color="auto"/>
            <w:right w:val="none" w:sz="0" w:space="0" w:color="auto"/>
          </w:divBdr>
        </w:div>
        <w:div w:id="1664893651">
          <w:marLeft w:val="1440"/>
          <w:marRight w:val="0"/>
          <w:marTop w:val="0"/>
          <w:marBottom w:val="0"/>
          <w:divBdr>
            <w:top w:val="none" w:sz="0" w:space="0" w:color="auto"/>
            <w:left w:val="none" w:sz="0" w:space="0" w:color="auto"/>
            <w:bottom w:val="none" w:sz="0" w:space="0" w:color="auto"/>
            <w:right w:val="none" w:sz="0" w:space="0" w:color="auto"/>
          </w:divBdr>
        </w:div>
        <w:div w:id="302396446">
          <w:marLeft w:val="1440"/>
          <w:marRight w:val="0"/>
          <w:marTop w:val="0"/>
          <w:marBottom w:val="0"/>
          <w:divBdr>
            <w:top w:val="none" w:sz="0" w:space="0" w:color="auto"/>
            <w:left w:val="none" w:sz="0" w:space="0" w:color="auto"/>
            <w:bottom w:val="none" w:sz="0" w:space="0" w:color="auto"/>
            <w:right w:val="none" w:sz="0" w:space="0" w:color="auto"/>
          </w:divBdr>
        </w:div>
        <w:div w:id="871840804">
          <w:marLeft w:val="1440"/>
          <w:marRight w:val="0"/>
          <w:marTop w:val="0"/>
          <w:marBottom w:val="0"/>
          <w:divBdr>
            <w:top w:val="none" w:sz="0" w:space="0" w:color="auto"/>
            <w:left w:val="none" w:sz="0" w:space="0" w:color="auto"/>
            <w:bottom w:val="none" w:sz="0" w:space="0" w:color="auto"/>
            <w:right w:val="none" w:sz="0" w:space="0" w:color="auto"/>
          </w:divBdr>
        </w:div>
        <w:div w:id="1450853961">
          <w:marLeft w:val="1440"/>
          <w:marRight w:val="0"/>
          <w:marTop w:val="0"/>
          <w:marBottom w:val="0"/>
          <w:divBdr>
            <w:top w:val="none" w:sz="0" w:space="0" w:color="auto"/>
            <w:left w:val="none" w:sz="0" w:space="0" w:color="auto"/>
            <w:bottom w:val="none" w:sz="0" w:space="0" w:color="auto"/>
            <w:right w:val="none" w:sz="0" w:space="0" w:color="auto"/>
          </w:divBdr>
        </w:div>
        <w:div w:id="240720584">
          <w:marLeft w:val="1440"/>
          <w:marRight w:val="0"/>
          <w:marTop w:val="0"/>
          <w:marBottom w:val="0"/>
          <w:divBdr>
            <w:top w:val="none" w:sz="0" w:space="0" w:color="auto"/>
            <w:left w:val="none" w:sz="0" w:space="0" w:color="auto"/>
            <w:bottom w:val="none" w:sz="0" w:space="0" w:color="auto"/>
            <w:right w:val="none" w:sz="0" w:space="0" w:color="auto"/>
          </w:divBdr>
        </w:div>
      </w:divsChild>
    </w:div>
    <w:div w:id="1907373341">
      <w:bodyDiv w:val="1"/>
      <w:marLeft w:val="0"/>
      <w:marRight w:val="0"/>
      <w:marTop w:val="0"/>
      <w:marBottom w:val="0"/>
      <w:divBdr>
        <w:top w:val="none" w:sz="0" w:space="0" w:color="auto"/>
        <w:left w:val="none" w:sz="0" w:space="0" w:color="auto"/>
        <w:bottom w:val="none" w:sz="0" w:space="0" w:color="auto"/>
        <w:right w:val="none" w:sz="0" w:space="0" w:color="auto"/>
      </w:divBdr>
    </w:div>
    <w:div w:id="1916932334">
      <w:bodyDiv w:val="1"/>
      <w:marLeft w:val="0"/>
      <w:marRight w:val="0"/>
      <w:marTop w:val="0"/>
      <w:marBottom w:val="0"/>
      <w:divBdr>
        <w:top w:val="none" w:sz="0" w:space="0" w:color="auto"/>
        <w:left w:val="none" w:sz="0" w:space="0" w:color="auto"/>
        <w:bottom w:val="none" w:sz="0" w:space="0" w:color="auto"/>
        <w:right w:val="none" w:sz="0" w:space="0" w:color="auto"/>
      </w:divBdr>
    </w:div>
    <w:div w:id="1928417536">
      <w:bodyDiv w:val="1"/>
      <w:marLeft w:val="0"/>
      <w:marRight w:val="0"/>
      <w:marTop w:val="0"/>
      <w:marBottom w:val="0"/>
      <w:divBdr>
        <w:top w:val="none" w:sz="0" w:space="0" w:color="auto"/>
        <w:left w:val="none" w:sz="0" w:space="0" w:color="auto"/>
        <w:bottom w:val="none" w:sz="0" w:space="0" w:color="auto"/>
        <w:right w:val="none" w:sz="0" w:space="0" w:color="auto"/>
      </w:divBdr>
    </w:div>
    <w:div w:id="1962373758">
      <w:bodyDiv w:val="1"/>
      <w:marLeft w:val="0"/>
      <w:marRight w:val="0"/>
      <w:marTop w:val="0"/>
      <w:marBottom w:val="0"/>
      <w:divBdr>
        <w:top w:val="none" w:sz="0" w:space="0" w:color="auto"/>
        <w:left w:val="none" w:sz="0" w:space="0" w:color="auto"/>
        <w:bottom w:val="none" w:sz="0" w:space="0" w:color="auto"/>
        <w:right w:val="none" w:sz="0" w:space="0" w:color="auto"/>
      </w:divBdr>
      <w:divsChild>
        <w:div w:id="650065963">
          <w:marLeft w:val="720"/>
          <w:marRight w:val="0"/>
          <w:marTop w:val="120"/>
          <w:marBottom w:val="0"/>
          <w:divBdr>
            <w:top w:val="none" w:sz="0" w:space="0" w:color="auto"/>
            <w:left w:val="none" w:sz="0" w:space="0" w:color="auto"/>
            <w:bottom w:val="none" w:sz="0" w:space="0" w:color="auto"/>
            <w:right w:val="none" w:sz="0" w:space="0" w:color="auto"/>
          </w:divBdr>
        </w:div>
        <w:div w:id="135804905">
          <w:marLeft w:val="720"/>
          <w:marRight w:val="0"/>
          <w:marTop w:val="120"/>
          <w:marBottom w:val="0"/>
          <w:divBdr>
            <w:top w:val="none" w:sz="0" w:space="0" w:color="auto"/>
            <w:left w:val="none" w:sz="0" w:space="0" w:color="auto"/>
            <w:bottom w:val="none" w:sz="0" w:space="0" w:color="auto"/>
            <w:right w:val="none" w:sz="0" w:space="0" w:color="auto"/>
          </w:divBdr>
        </w:div>
        <w:div w:id="1126391549">
          <w:marLeft w:val="720"/>
          <w:marRight w:val="0"/>
          <w:marTop w:val="120"/>
          <w:marBottom w:val="0"/>
          <w:divBdr>
            <w:top w:val="none" w:sz="0" w:space="0" w:color="auto"/>
            <w:left w:val="none" w:sz="0" w:space="0" w:color="auto"/>
            <w:bottom w:val="none" w:sz="0" w:space="0" w:color="auto"/>
            <w:right w:val="none" w:sz="0" w:space="0" w:color="auto"/>
          </w:divBdr>
        </w:div>
        <w:div w:id="93596440">
          <w:marLeft w:val="720"/>
          <w:marRight w:val="0"/>
          <w:marTop w:val="120"/>
          <w:marBottom w:val="0"/>
          <w:divBdr>
            <w:top w:val="none" w:sz="0" w:space="0" w:color="auto"/>
            <w:left w:val="none" w:sz="0" w:space="0" w:color="auto"/>
            <w:bottom w:val="none" w:sz="0" w:space="0" w:color="auto"/>
            <w:right w:val="none" w:sz="0" w:space="0" w:color="auto"/>
          </w:divBdr>
        </w:div>
        <w:div w:id="628778181">
          <w:marLeft w:val="720"/>
          <w:marRight w:val="0"/>
          <w:marTop w:val="120"/>
          <w:marBottom w:val="0"/>
          <w:divBdr>
            <w:top w:val="none" w:sz="0" w:space="0" w:color="auto"/>
            <w:left w:val="none" w:sz="0" w:space="0" w:color="auto"/>
            <w:bottom w:val="none" w:sz="0" w:space="0" w:color="auto"/>
            <w:right w:val="none" w:sz="0" w:space="0" w:color="auto"/>
          </w:divBdr>
        </w:div>
      </w:divsChild>
    </w:div>
    <w:div w:id="1969511626">
      <w:bodyDiv w:val="1"/>
      <w:marLeft w:val="0"/>
      <w:marRight w:val="0"/>
      <w:marTop w:val="0"/>
      <w:marBottom w:val="0"/>
      <w:divBdr>
        <w:top w:val="none" w:sz="0" w:space="0" w:color="auto"/>
        <w:left w:val="none" w:sz="0" w:space="0" w:color="auto"/>
        <w:bottom w:val="none" w:sz="0" w:space="0" w:color="auto"/>
        <w:right w:val="none" w:sz="0" w:space="0" w:color="auto"/>
      </w:divBdr>
    </w:div>
    <w:div w:id="1969553775">
      <w:bodyDiv w:val="1"/>
      <w:marLeft w:val="0"/>
      <w:marRight w:val="0"/>
      <w:marTop w:val="0"/>
      <w:marBottom w:val="0"/>
      <w:divBdr>
        <w:top w:val="none" w:sz="0" w:space="0" w:color="auto"/>
        <w:left w:val="none" w:sz="0" w:space="0" w:color="auto"/>
        <w:bottom w:val="none" w:sz="0" w:space="0" w:color="auto"/>
        <w:right w:val="none" w:sz="0" w:space="0" w:color="auto"/>
      </w:divBdr>
    </w:div>
    <w:div w:id="1981499158">
      <w:bodyDiv w:val="1"/>
      <w:marLeft w:val="0"/>
      <w:marRight w:val="0"/>
      <w:marTop w:val="0"/>
      <w:marBottom w:val="0"/>
      <w:divBdr>
        <w:top w:val="none" w:sz="0" w:space="0" w:color="auto"/>
        <w:left w:val="none" w:sz="0" w:space="0" w:color="auto"/>
        <w:bottom w:val="none" w:sz="0" w:space="0" w:color="auto"/>
        <w:right w:val="none" w:sz="0" w:space="0" w:color="auto"/>
      </w:divBdr>
    </w:div>
    <w:div w:id="1986469459">
      <w:bodyDiv w:val="1"/>
      <w:marLeft w:val="0"/>
      <w:marRight w:val="0"/>
      <w:marTop w:val="0"/>
      <w:marBottom w:val="0"/>
      <w:divBdr>
        <w:top w:val="none" w:sz="0" w:space="0" w:color="auto"/>
        <w:left w:val="none" w:sz="0" w:space="0" w:color="auto"/>
        <w:bottom w:val="none" w:sz="0" w:space="0" w:color="auto"/>
        <w:right w:val="none" w:sz="0" w:space="0" w:color="auto"/>
      </w:divBdr>
    </w:div>
    <w:div w:id="1988629377">
      <w:bodyDiv w:val="1"/>
      <w:marLeft w:val="0"/>
      <w:marRight w:val="0"/>
      <w:marTop w:val="0"/>
      <w:marBottom w:val="0"/>
      <w:divBdr>
        <w:top w:val="none" w:sz="0" w:space="0" w:color="auto"/>
        <w:left w:val="none" w:sz="0" w:space="0" w:color="auto"/>
        <w:bottom w:val="none" w:sz="0" w:space="0" w:color="auto"/>
        <w:right w:val="none" w:sz="0" w:space="0" w:color="auto"/>
      </w:divBdr>
    </w:div>
    <w:div w:id="2004778777">
      <w:bodyDiv w:val="1"/>
      <w:marLeft w:val="0"/>
      <w:marRight w:val="0"/>
      <w:marTop w:val="0"/>
      <w:marBottom w:val="0"/>
      <w:divBdr>
        <w:top w:val="none" w:sz="0" w:space="0" w:color="auto"/>
        <w:left w:val="none" w:sz="0" w:space="0" w:color="auto"/>
        <w:bottom w:val="none" w:sz="0" w:space="0" w:color="auto"/>
        <w:right w:val="none" w:sz="0" w:space="0" w:color="auto"/>
      </w:divBdr>
      <w:divsChild>
        <w:div w:id="1860587045">
          <w:marLeft w:val="1440"/>
          <w:marRight w:val="0"/>
          <w:marTop w:val="0"/>
          <w:marBottom w:val="0"/>
          <w:divBdr>
            <w:top w:val="none" w:sz="0" w:space="0" w:color="auto"/>
            <w:left w:val="none" w:sz="0" w:space="0" w:color="auto"/>
            <w:bottom w:val="none" w:sz="0" w:space="0" w:color="auto"/>
            <w:right w:val="none" w:sz="0" w:space="0" w:color="auto"/>
          </w:divBdr>
        </w:div>
        <w:div w:id="1116756014">
          <w:marLeft w:val="1440"/>
          <w:marRight w:val="0"/>
          <w:marTop w:val="0"/>
          <w:marBottom w:val="0"/>
          <w:divBdr>
            <w:top w:val="none" w:sz="0" w:space="0" w:color="auto"/>
            <w:left w:val="none" w:sz="0" w:space="0" w:color="auto"/>
            <w:bottom w:val="none" w:sz="0" w:space="0" w:color="auto"/>
            <w:right w:val="none" w:sz="0" w:space="0" w:color="auto"/>
          </w:divBdr>
        </w:div>
        <w:div w:id="1962807181">
          <w:marLeft w:val="1440"/>
          <w:marRight w:val="0"/>
          <w:marTop w:val="0"/>
          <w:marBottom w:val="0"/>
          <w:divBdr>
            <w:top w:val="none" w:sz="0" w:space="0" w:color="auto"/>
            <w:left w:val="none" w:sz="0" w:space="0" w:color="auto"/>
            <w:bottom w:val="none" w:sz="0" w:space="0" w:color="auto"/>
            <w:right w:val="none" w:sz="0" w:space="0" w:color="auto"/>
          </w:divBdr>
        </w:div>
        <w:div w:id="2015179177">
          <w:marLeft w:val="1440"/>
          <w:marRight w:val="0"/>
          <w:marTop w:val="0"/>
          <w:marBottom w:val="0"/>
          <w:divBdr>
            <w:top w:val="none" w:sz="0" w:space="0" w:color="auto"/>
            <w:left w:val="none" w:sz="0" w:space="0" w:color="auto"/>
            <w:bottom w:val="none" w:sz="0" w:space="0" w:color="auto"/>
            <w:right w:val="none" w:sz="0" w:space="0" w:color="auto"/>
          </w:divBdr>
        </w:div>
        <w:div w:id="1507478848">
          <w:marLeft w:val="1440"/>
          <w:marRight w:val="0"/>
          <w:marTop w:val="0"/>
          <w:marBottom w:val="0"/>
          <w:divBdr>
            <w:top w:val="none" w:sz="0" w:space="0" w:color="auto"/>
            <w:left w:val="none" w:sz="0" w:space="0" w:color="auto"/>
            <w:bottom w:val="none" w:sz="0" w:space="0" w:color="auto"/>
            <w:right w:val="none" w:sz="0" w:space="0" w:color="auto"/>
          </w:divBdr>
        </w:div>
        <w:div w:id="873689619">
          <w:marLeft w:val="1440"/>
          <w:marRight w:val="0"/>
          <w:marTop w:val="0"/>
          <w:marBottom w:val="0"/>
          <w:divBdr>
            <w:top w:val="none" w:sz="0" w:space="0" w:color="auto"/>
            <w:left w:val="none" w:sz="0" w:space="0" w:color="auto"/>
            <w:bottom w:val="none" w:sz="0" w:space="0" w:color="auto"/>
            <w:right w:val="none" w:sz="0" w:space="0" w:color="auto"/>
          </w:divBdr>
        </w:div>
      </w:divsChild>
    </w:div>
    <w:div w:id="2011060095">
      <w:bodyDiv w:val="1"/>
      <w:marLeft w:val="0"/>
      <w:marRight w:val="0"/>
      <w:marTop w:val="0"/>
      <w:marBottom w:val="0"/>
      <w:divBdr>
        <w:top w:val="none" w:sz="0" w:space="0" w:color="auto"/>
        <w:left w:val="none" w:sz="0" w:space="0" w:color="auto"/>
        <w:bottom w:val="none" w:sz="0" w:space="0" w:color="auto"/>
        <w:right w:val="none" w:sz="0" w:space="0" w:color="auto"/>
      </w:divBdr>
    </w:div>
    <w:div w:id="2016489880">
      <w:bodyDiv w:val="1"/>
      <w:marLeft w:val="0"/>
      <w:marRight w:val="0"/>
      <w:marTop w:val="0"/>
      <w:marBottom w:val="0"/>
      <w:divBdr>
        <w:top w:val="none" w:sz="0" w:space="0" w:color="auto"/>
        <w:left w:val="none" w:sz="0" w:space="0" w:color="auto"/>
        <w:bottom w:val="none" w:sz="0" w:space="0" w:color="auto"/>
        <w:right w:val="none" w:sz="0" w:space="0" w:color="auto"/>
      </w:divBdr>
    </w:div>
    <w:div w:id="2033412989">
      <w:bodyDiv w:val="1"/>
      <w:marLeft w:val="0"/>
      <w:marRight w:val="0"/>
      <w:marTop w:val="0"/>
      <w:marBottom w:val="0"/>
      <w:divBdr>
        <w:top w:val="none" w:sz="0" w:space="0" w:color="auto"/>
        <w:left w:val="none" w:sz="0" w:space="0" w:color="auto"/>
        <w:bottom w:val="none" w:sz="0" w:space="0" w:color="auto"/>
        <w:right w:val="none" w:sz="0" w:space="0" w:color="auto"/>
      </w:divBdr>
    </w:div>
    <w:div w:id="2037808031">
      <w:bodyDiv w:val="1"/>
      <w:marLeft w:val="0"/>
      <w:marRight w:val="0"/>
      <w:marTop w:val="0"/>
      <w:marBottom w:val="0"/>
      <w:divBdr>
        <w:top w:val="none" w:sz="0" w:space="0" w:color="auto"/>
        <w:left w:val="none" w:sz="0" w:space="0" w:color="auto"/>
        <w:bottom w:val="none" w:sz="0" w:space="0" w:color="auto"/>
        <w:right w:val="none" w:sz="0" w:space="0" w:color="auto"/>
      </w:divBdr>
    </w:div>
    <w:div w:id="2039817027">
      <w:bodyDiv w:val="1"/>
      <w:marLeft w:val="0"/>
      <w:marRight w:val="0"/>
      <w:marTop w:val="0"/>
      <w:marBottom w:val="0"/>
      <w:divBdr>
        <w:top w:val="none" w:sz="0" w:space="0" w:color="auto"/>
        <w:left w:val="none" w:sz="0" w:space="0" w:color="auto"/>
        <w:bottom w:val="none" w:sz="0" w:space="0" w:color="auto"/>
        <w:right w:val="none" w:sz="0" w:space="0" w:color="auto"/>
      </w:divBdr>
    </w:div>
    <w:div w:id="2050714101">
      <w:bodyDiv w:val="1"/>
      <w:marLeft w:val="0"/>
      <w:marRight w:val="0"/>
      <w:marTop w:val="0"/>
      <w:marBottom w:val="0"/>
      <w:divBdr>
        <w:top w:val="none" w:sz="0" w:space="0" w:color="auto"/>
        <w:left w:val="none" w:sz="0" w:space="0" w:color="auto"/>
        <w:bottom w:val="none" w:sz="0" w:space="0" w:color="auto"/>
        <w:right w:val="none" w:sz="0" w:space="0" w:color="auto"/>
      </w:divBdr>
    </w:div>
    <w:div w:id="2066946258">
      <w:bodyDiv w:val="1"/>
      <w:marLeft w:val="0"/>
      <w:marRight w:val="0"/>
      <w:marTop w:val="0"/>
      <w:marBottom w:val="0"/>
      <w:divBdr>
        <w:top w:val="none" w:sz="0" w:space="0" w:color="auto"/>
        <w:left w:val="none" w:sz="0" w:space="0" w:color="auto"/>
        <w:bottom w:val="none" w:sz="0" w:space="0" w:color="auto"/>
        <w:right w:val="none" w:sz="0" w:space="0" w:color="auto"/>
      </w:divBdr>
      <w:divsChild>
        <w:div w:id="2028830339">
          <w:marLeft w:val="446"/>
          <w:marRight w:val="0"/>
          <w:marTop w:val="0"/>
          <w:marBottom w:val="0"/>
          <w:divBdr>
            <w:top w:val="none" w:sz="0" w:space="0" w:color="auto"/>
            <w:left w:val="none" w:sz="0" w:space="0" w:color="auto"/>
            <w:bottom w:val="none" w:sz="0" w:space="0" w:color="auto"/>
            <w:right w:val="none" w:sz="0" w:space="0" w:color="auto"/>
          </w:divBdr>
        </w:div>
        <w:div w:id="686100352">
          <w:marLeft w:val="446"/>
          <w:marRight w:val="0"/>
          <w:marTop w:val="0"/>
          <w:marBottom w:val="0"/>
          <w:divBdr>
            <w:top w:val="none" w:sz="0" w:space="0" w:color="auto"/>
            <w:left w:val="none" w:sz="0" w:space="0" w:color="auto"/>
            <w:bottom w:val="none" w:sz="0" w:space="0" w:color="auto"/>
            <w:right w:val="none" w:sz="0" w:space="0" w:color="auto"/>
          </w:divBdr>
        </w:div>
        <w:div w:id="437800081">
          <w:marLeft w:val="446"/>
          <w:marRight w:val="0"/>
          <w:marTop w:val="0"/>
          <w:marBottom w:val="0"/>
          <w:divBdr>
            <w:top w:val="none" w:sz="0" w:space="0" w:color="auto"/>
            <w:left w:val="none" w:sz="0" w:space="0" w:color="auto"/>
            <w:bottom w:val="none" w:sz="0" w:space="0" w:color="auto"/>
            <w:right w:val="none" w:sz="0" w:space="0" w:color="auto"/>
          </w:divBdr>
        </w:div>
      </w:divsChild>
    </w:div>
    <w:div w:id="2093693714">
      <w:bodyDiv w:val="1"/>
      <w:marLeft w:val="0"/>
      <w:marRight w:val="0"/>
      <w:marTop w:val="0"/>
      <w:marBottom w:val="0"/>
      <w:divBdr>
        <w:top w:val="none" w:sz="0" w:space="0" w:color="auto"/>
        <w:left w:val="none" w:sz="0" w:space="0" w:color="auto"/>
        <w:bottom w:val="none" w:sz="0" w:space="0" w:color="auto"/>
        <w:right w:val="none" w:sz="0" w:space="0" w:color="auto"/>
      </w:divBdr>
    </w:div>
    <w:div w:id="2100715659">
      <w:bodyDiv w:val="1"/>
      <w:marLeft w:val="0"/>
      <w:marRight w:val="0"/>
      <w:marTop w:val="0"/>
      <w:marBottom w:val="0"/>
      <w:divBdr>
        <w:top w:val="none" w:sz="0" w:space="0" w:color="auto"/>
        <w:left w:val="none" w:sz="0" w:space="0" w:color="auto"/>
        <w:bottom w:val="none" w:sz="0" w:space="0" w:color="auto"/>
        <w:right w:val="none" w:sz="0" w:space="0" w:color="auto"/>
      </w:divBdr>
      <w:divsChild>
        <w:div w:id="1180242375">
          <w:marLeft w:val="720"/>
          <w:marRight w:val="0"/>
          <w:marTop w:val="120"/>
          <w:marBottom w:val="0"/>
          <w:divBdr>
            <w:top w:val="none" w:sz="0" w:space="0" w:color="auto"/>
            <w:left w:val="none" w:sz="0" w:space="0" w:color="auto"/>
            <w:bottom w:val="none" w:sz="0" w:space="0" w:color="auto"/>
            <w:right w:val="none" w:sz="0" w:space="0" w:color="auto"/>
          </w:divBdr>
        </w:div>
      </w:divsChild>
    </w:div>
    <w:div w:id="2114588152">
      <w:bodyDiv w:val="1"/>
      <w:marLeft w:val="0"/>
      <w:marRight w:val="0"/>
      <w:marTop w:val="0"/>
      <w:marBottom w:val="0"/>
      <w:divBdr>
        <w:top w:val="none" w:sz="0" w:space="0" w:color="auto"/>
        <w:left w:val="none" w:sz="0" w:space="0" w:color="auto"/>
        <w:bottom w:val="none" w:sz="0" w:space="0" w:color="auto"/>
        <w:right w:val="none" w:sz="0" w:space="0" w:color="auto"/>
      </w:divBdr>
    </w:div>
    <w:div w:id="2130583713">
      <w:bodyDiv w:val="1"/>
      <w:marLeft w:val="0"/>
      <w:marRight w:val="0"/>
      <w:marTop w:val="0"/>
      <w:marBottom w:val="0"/>
      <w:divBdr>
        <w:top w:val="none" w:sz="0" w:space="0" w:color="auto"/>
        <w:left w:val="none" w:sz="0" w:space="0" w:color="auto"/>
        <w:bottom w:val="none" w:sz="0" w:space="0" w:color="auto"/>
        <w:right w:val="none" w:sz="0" w:space="0" w:color="auto"/>
      </w:divBdr>
      <w:divsChild>
        <w:div w:id="1076561266">
          <w:marLeft w:val="720"/>
          <w:marRight w:val="0"/>
          <w:marTop w:val="120"/>
          <w:marBottom w:val="0"/>
          <w:divBdr>
            <w:top w:val="none" w:sz="0" w:space="0" w:color="auto"/>
            <w:left w:val="none" w:sz="0" w:space="0" w:color="auto"/>
            <w:bottom w:val="none" w:sz="0" w:space="0" w:color="auto"/>
            <w:right w:val="none" w:sz="0" w:space="0" w:color="auto"/>
          </w:divBdr>
        </w:div>
      </w:divsChild>
    </w:div>
    <w:div w:id="2137679067">
      <w:bodyDiv w:val="1"/>
      <w:marLeft w:val="0"/>
      <w:marRight w:val="0"/>
      <w:marTop w:val="0"/>
      <w:marBottom w:val="0"/>
      <w:divBdr>
        <w:top w:val="none" w:sz="0" w:space="0" w:color="auto"/>
        <w:left w:val="none" w:sz="0" w:space="0" w:color="auto"/>
        <w:bottom w:val="none" w:sz="0" w:space="0" w:color="auto"/>
        <w:right w:val="none" w:sz="0" w:space="0" w:color="auto"/>
      </w:divBdr>
    </w:div>
    <w:div w:id="21450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ma.europa.eu/en/glossary/chmp"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goodtissuepractices.eu/"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ma.europa.eu/en/glossary/orphan-medicine"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www.ema.europa.eu/en/glossary/medicinal-produc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ema.europa.eu/en/glossary/conditional-marketing-authorisatio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ema.europa.eu/en/human-regulatory/marketing-authorisation/conditional-marketing-authorisation" TargetMode="Externa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yperlink" Target="https://www.ema.europa.eu/en/glossary/conditional-marketing-authorisation"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ma.europa.eu/en/glossary/guidelin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1.xm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_rels/foot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Tactical%20business%20marketing%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CD0987310A4191BAFACB842CA5FAE2"/>
        <w:category>
          <w:name w:val="General"/>
          <w:gallery w:val="placeholder"/>
        </w:category>
        <w:types>
          <w:type w:val="bbPlcHdr"/>
        </w:types>
        <w:behaviors>
          <w:behavior w:val="content"/>
        </w:behaviors>
        <w:guid w:val="{0CB8A413-3562-4829-9C85-8EE54A83FDBA}"/>
      </w:docPartPr>
      <w:docPartBody>
        <w:p w:rsidR="00FF5537" w:rsidRDefault="00BB721C">
          <w:pPr>
            <w:pStyle w:val="02CD0987310A4191BAFACB842CA5FAE2"/>
          </w:pPr>
          <w:r>
            <w:t>Date</w:t>
          </w:r>
        </w:p>
      </w:docPartBody>
    </w:docPart>
    <w:docPart>
      <w:docPartPr>
        <w:name w:val="9AC8044EFEF242EF9B5D7CF98B43DB87"/>
        <w:category>
          <w:name w:val="General"/>
          <w:gallery w:val="placeholder"/>
        </w:category>
        <w:types>
          <w:type w:val="bbPlcHdr"/>
        </w:types>
        <w:behaviors>
          <w:behavior w:val="content"/>
        </w:behaviors>
        <w:guid w:val="{4BE8B75E-9106-4922-8B93-F4D2286346FF}"/>
      </w:docPartPr>
      <w:docPartBody>
        <w:p w:rsidR="00FF5537" w:rsidRDefault="00BB721C">
          <w:pPr>
            <w:pStyle w:val="9AC8044EFEF242EF9B5D7CF98B43DB87"/>
          </w:pPr>
          <w: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Light">
    <w:altName w:val="Gotham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2"/>
  </w:compat>
  <w:rsids>
    <w:rsidRoot w:val="002D3E91"/>
    <w:rsid w:val="00004CDB"/>
    <w:rsid w:val="00037EE4"/>
    <w:rsid w:val="000635D1"/>
    <w:rsid w:val="000A3671"/>
    <w:rsid w:val="00161A71"/>
    <w:rsid w:val="001A102E"/>
    <w:rsid w:val="002C3AFC"/>
    <w:rsid w:val="002D3E91"/>
    <w:rsid w:val="003861CD"/>
    <w:rsid w:val="00426C79"/>
    <w:rsid w:val="00460173"/>
    <w:rsid w:val="0047136B"/>
    <w:rsid w:val="00576F6B"/>
    <w:rsid w:val="005E6CEF"/>
    <w:rsid w:val="00780A87"/>
    <w:rsid w:val="00897311"/>
    <w:rsid w:val="008D4FA6"/>
    <w:rsid w:val="008E4815"/>
    <w:rsid w:val="008E54B1"/>
    <w:rsid w:val="00951F68"/>
    <w:rsid w:val="009C5E06"/>
    <w:rsid w:val="00A377B6"/>
    <w:rsid w:val="00A37B95"/>
    <w:rsid w:val="00AC0B2C"/>
    <w:rsid w:val="00AC5E39"/>
    <w:rsid w:val="00B44D6F"/>
    <w:rsid w:val="00BB721C"/>
    <w:rsid w:val="00BD7385"/>
    <w:rsid w:val="00C1240D"/>
    <w:rsid w:val="00C218EB"/>
    <w:rsid w:val="00C52FB9"/>
    <w:rsid w:val="00D02916"/>
    <w:rsid w:val="00D54B2A"/>
    <w:rsid w:val="00DA5CBD"/>
    <w:rsid w:val="00DB77F2"/>
    <w:rsid w:val="00DC2DFE"/>
    <w:rsid w:val="00DC6368"/>
    <w:rsid w:val="00E001BD"/>
    <w:rsid w:val="00EB3AB5"/>
    <w:rsid w:val="00F15BA2"/>
    <w:rsid w:val="00F34DBB"/>
    <w:rsid w:val="00FC6536"/>
    <w:rsid w:val="00FF5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B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6E7B4DDFD94E0C895F3A02A9CE7A7D">
    <w:name w:val="BA6E7B4DDFD94E0C895F3A02A9CE7A7D"/>
    <w:rsid w:val="00A37B95"/>
  </w:style>
  <w:style w:type="paragraph" w:customStyle="1" w:styleId="1D191DBBDAAF4BE1BB313C321557914A">
    <w:name w:val="1D191DBBDAAF4BE1BB313C321557914A"/>
    <w:rsid w:val="00A37B95"/>
  </w:style>
  <w:style w:type="paragraph" w:customStyle="1" w:styleId="02CD0987310A4191BAFACB842CA5FAE2">
    <w:name w:val="02CD0987310A4191BAFACB842CA5FAE2"/>
    <w:rsid w:val="00A37B95"/>
  </w:style>
  <w:style w:type="paragraph" w:customStyle="1" w:styleId="18F0798D238D4DC98F4552B39D0EA595">
    <w:name w:val="18F0798D238D4DC98F4552B39D0EA595"/>
    <w:rsid w:val="00A37B95"/>
  </w:style>
  <w:style w:type="paragraph" w:customStyle="1" w:styleId="9AC8044EFEF242EF9B5D7CF98B43DB87">
    <w:name w:val="9AC8044EFEF242EF9B5D7CF98B43DB87"/>
    <w:rsid w:val="00A37B95"/>
  </w:style>
  <w:style w:type="paragraph" w:customStyle="1" w:styleId="0637C6C041E04A43A8D463A0AB2102B3">
    <w:name w:val="0637C6C041E04A43A8D463A0AB2102B3"/>
    <w:rsid w:val="00A37B95"/>
  </w:style>
  <w:style w:type="paragraph" w:customStyle="1" w:styleId="E1F2D2ED810342D685AF5431E70BD541">
    <w:name w:val="E1F2D2ED810342D685AF5431E70BD541"/>
    <w:rsid w:val="00A37B95"/>
  </w:style>
  <w:style w:type="paragraph" w:customStyle="1" w:styleId="19505995B8BA47728785ED2DD7AE5AFF">
    <w:name w:val="19505995B8BA47728785ED2DD7AE5AFF"/>
    <w:rsid w:val="00A37B95"/>
  </w:style>
  <w:style w:type="paragraph" w:customStyle="1" w:styleId="132E9E10D9D143DEB0C0FD594C8C7F82">
    <w:name w:val="132E9E10D9D143DEB0C0FD594C8C7F82"/>
    <w:rsid w:val="00A37B95"/>
  </w:style>
  <w:style w:type="paragraph" w:customStyle="1" w:styleId="31751EDEB597427BBFA802F2BF4E7E2A">
    <w:name w:val="31751EDEB597427BBFA802F2BF4E7E2A"/>
    <w:rsid w:val="00A37B95"/>
  </w:style>
  <w:style w:type="character" w:styleId="Emphasis">
    <w:name w:val="Emphasis"/>
    <w:basedOn w:val="DefaultParagraphFont"/>
    <w:uiPriority w:val="20"/>
    <w:rsid w:val="00A37B95"/>
    <w:rPr>
      <w:i/>
      <w:iCs/>
      <w:color w:val="595959" w:themeColor="text1" w:themeTint="A6"/>
    </w:rPr>
  </w:style>
  <w:style w:type="paragraph" w:customStyle="1" w:styleId="C34B3A5EA8284B14A690E77BB451E09F">
    <w:name w:val="C34B3A5EA8284B14A690E77BB451E09F"/>
    <w:rsid w:val="00A37B95"/>
  </w:style>
  <w:style w:type="paragraph" w:customStyle="1" w:styleId="FEFDFBEFFBD04D1BAAF1355D440D994F">
    <w:name w:val="FEFDFBEFFBD04D1BAAF1355D440D994F"/>
    <w:rsid w:val="00A37B95"/>
  </w:style>
  <w:style w:type="paragraph" w:customStyle="1" w:styleId="E53B21E55B4344AA9499483F9959F779">
    <w:name w:val="E53B21E55B4344AA9499483F9959F779"/>
    <w:rsid w:val="00A37B95"/>
  </w:style>
  <w:style w:type="paragraph" w:customStyle="1" w:styleId="0E007461894E4D81B51F43D2C40F6305">
    <w:name w:val="0E007461894E4D81B51F43D2C40F6305"/>
    <w:rsid w:val="00A37B95"/>
  </w:style>
  <w:style w:type="paragraph" w:customStyle="1" w:styleId="32ECF9CDFB224865A65B19D9B92D8B91">
    <w:name w:val="32ECF9CDFB224865A65B19D9B92D8B91"/>
    <w:rsid w:val="00A37B95"/>
  </w:style>
  <w:style w:type="paragraph" w:customStyle="1" w:styleId="5BB7D4F7703A4F8C8FB38CA515E124B9">
    <w:name w:val="5BB7D4F7703A4F8C8FB38CA515E124B9"/>
    <w:rsid w:val="00A37B95"/>
  </w:style>
  <w:style w:type="paragraph" w:customStyle="1" w:styleId="D0AAA1D02C9E465B8AF790DB4A43B64A">
    <w:name w:val="D0AAA1D02C9E465B8AF790DB4A43B64A"/>
    <w:rsid w:val="00A37B95"/>
  </w:style>
  <w:style w:type="paragraph" w:customStyle="1" w:styleId="97C9721D1AE34FA3BC1C8897B5A4700C">
    <w:name w:val="97C9721D1AE34FA3BC1C8897B5A4700C"/>
    <w:rsid w:val="00A37B95"/>
  </w:style>
  <w:style w:type="paragraph" w:customStyle="1" w:styleId="3F2AD459EAA34BB89D27A1D7EC5F5958">
    <w:name w:val="3F2AD459EAA34BB89D27A1D7EC5F5958"/>
    <w:rsid w:val="00A37B95"/>
  </w:style>
  <w:style w:type="paragraph" w:customStyle="1" w:styleId="2BF7BEAFC3C2494B9B67318DBC3149D5">
    <w:name w:val="2BF7BEAFC3C2494B9B67318DBC3149D5"/>
    <w:rsid w:val="00A37B95"/>
  </w:style>
  <w:style w:type="paragraph" w:customStyle="1" w:styleId="D9B96FE66A1C42FF9C4BD9CC0230CBE9">
    <w:name w:val="D9B96FE66A1C42FF9C4BD9CC0230CBE9"/>
    <w:rsid w:val="00A37B95"/>
  </w:style>
  <w:style w:type="paragraph" w:customStyle="1" w:styleId="17110D44AA6F42AEAAB37172B218856C">
    <w:name w:val="17110D44AA6F42AEAAB37172B218856C"/>
    <w:rsid w:val="00A37B95"/>
  </w:style>
  <w:style w:type="paragraph" w:customStyle="1" w:styleId="1E20E95C0C2943C4B577EE8FDC5ACA2F">
    <w:name w:val="1E20E95C0C2943C4B577EE8FDC5ACA2F"/>
    <w:rsid w:val="00A37B95"/>
  </w:style>
  <w:style w:type="paragraph" w:customStyle="1" w:styleId="347A2EC4968845AC96077AC76C0102FF">
    <w:name w:val="347A2EC4968845AC96077AC76C0102FF"/>
    <w:rsid w:val="00A37B95"/>
  </w:style>
  <w:style w:type="paragraph" w:customStyle="1" w:styleId="6F04D715E6484A59AF625D3CC888F26A">
    <w:name w:val="6F04D715E6484A59AF625D3CC888F26A"/>
    <w:rsid w:val="00A37B95"/>
  </w:style>
  <w:style w:type="paragraph" w:customStyle="1" w:styleId="A6B3E94AFEA7451086A29B859CA281F3">
    <w:name w:val="A6B3E94AFEA7451086A29B859CA281F3"/>
    <w:rsid w:val="00A37B95"/>
  </w:style>
  <w:style w:type="paragraph" w:customStyle="1" w:styleId="4759D5FC4C6C485BA3B940156B6FB84F">
    <w:name w:val="4759D5FC4C6C485BA3B940156B6FB84F"/>
    <w:rsid w:val="00A37B95"/>
  </w:style>
  <w:style w:type="paragraph" w:customStyle="1" w:styleId="68503E9E2BB641E59C84C8AA74B18234">
    <w:name w:val="68503E9E2BB641E59C84C8AA74B18234"/>
    <w:rsid w:val="00A37B95"/>
  </w:style>
  <w:style w:type="paragraph" w:customStyle="1" w:styleId="810F299637D143D8A86DEC52AEBFEEC8">
    <w:name w:val="810F299637D143D8A86DEC52AEBFEEC8"/>
    <w:rsid w:val="00A37B95"/>
  </w:style>
  <w:style w:type="paragraph" w:customStyle="1" w:styleId="A2796539CA19488CB898E55E9C8EF2DA">
    <w:name w:val="A2796539CA19488CB898E55E9C8EF2DA"/>
    <w:rsid w:val="00A37B95"/>
  </w:style>
  <w:style w:type="paragraph" w:customStyle="1" w:styleId="53CBB7E70BC4449292E243FCE0F08563">
    <w:name w:val="53CBB7E70BC4449292E243FCE0F08563"/>
    <w:rsid w:val="00A37B95"/>
  </w:style>
  <w:style w:type="paragraph" w:customStyle="1" w:styleId="25D82588AA5448A592503C96448CFFB4">
    <w:name w:val="25D82588AA5448A592503C96448CFFB4"/>
    <w:rsid w:val="00A37B95"/>
  </w:style>
  <w:style w:type="paragraph" w:customStyle="1" w:styleId="4468EFF6996E4DD783926D4E78718479">
    <w:name w:val="4468EFF6996E4DD783926D4E78718479"/>
    <w:rsid w:val="00A37B95"/>
  </w:style>
  <w:style w:type="paragraph" w:customStyle="1" w:styleId="E5AEE78E87B6427EA8A5F77EBF242032">
    <w:name w:val="E5AEE78E87B6427EA8A5F77EBF242032"/>
    <w:rsid w:val="00A37B95"/>
  </w:style>
  <w:style w:type="paragraph" w:customStyle="1" w:styleId="BB3C3417FCA147438B351B8F1B335C0C">
    <w:name w:val="BB3C3417FCA147438B351B8F1B335C0C"/>
    <w:rsid w:val="00A37B95"/>
  </w:style>
  <w:style w:type="paragraph" w:customStyle="1" w:styleId="A6FE9EBBECBA43C4A6C07C5C6F6ABE7D">
    <w:name w:val="A6FE9EBBECBA43C4A6C07C5C6F6ABE7D"/>
    <w:rsid w:val="00A37B95"/>
  </w:style>
  <w:style w:type="paragraph" w:customStyle="1" w:styleId="26FA8FBB61C44225BFF2CD3F390D7970">
    <w:name w:val="26FA8FBB61C44225BFF2CD3F390D7970"/>
    <w:rsid w:val="00A37B95"/>
  </w:style>
  <w:style w:type="paragraph" w:customStyle="1" w:styleId="082A3E12FED64020874D7082F9DD8918">
    <w:name w:val="082A3E12FED64020874D7082F9DD8918"/>
    <w:rsid w:val="00A37B95"/>
  </w:style>
  <w:style w:type="paragraph" w:customStyle="1" w:styleId="7A0A95201BE04AC39304312610B69F88">
    <w:name w:val="7A0A95201BE04AC39304312610B69F88"/>
    <w:rsid w:val="00A37B95"/>
  </w:style>
  <w:style w:type="paragraph" w:customStyle="1" w:styleId="35DB1C5DF52B41AF831E08AEB51CE02F">
    <w:name w:val="35DB1C5DF52B41AF831E08AEB51CE02F"/>
    <w:rsid w:val="00A37B95"/>
  </w:style>
  <w:style w:type="paragraph" w:customStyle="1" w:styleId="B37BCC37D47742C382F09AEECFEA39ED">
    <w:name w:val="B37BCC37D47742C382F09AEECFEA39ED"/>
    <w:rsid w:val="00A37B95"/>
  </w:style>
  <w:style w:type="paragraph" w:customStyle="1" w:styleId="FF19CF02EA1C4994851C4E024FCD6538">
    <w:name w:val="FF19CF02EA1C4994851C4E024FCD6538"/>
    <w:rsid w:val="00A37B95"/>
  </w:style>
  <w:style w:type="paragraph" w:customStyle="1" w:styleId="B1548A57F9D841C2BCE5DD515F431809">
    <w:name w:val="B1548A57F9D841C2BCE5DD515F431809"/>
    <w:rsid w:val="00A37B95"/>
  </w:style>
  <w:style w:type="paragraph" w:customStyle="1" w:styleId="F7DA1678E68A4A59A53CB12576D79A71">
    <w:name w:val="F7DA1678E68A4A59A53CB12576D79A71"/>
    <w:rsid w:val="00A37B95"/>
  </w:style>
  <w:style w:type="paragraph" w:customStyle="1" w:styleId="DAABE5EC65FA48DD9783357FCCE7A2A0">
    <w:name w:val="DAABE5EC65FA48DD9783357FCCE7A2A0"/>
    <w:rsid w:val="00A37B95"/>
  </w:style>
  <w:style w:type="paragraph" w:customStyle="1" w:styleId="3494F7CB719A48058ED49104651F4BBF">
    <w:name w:val="3494F7CB719A48058ED49104651F4BBF"/>
    <w:rsid w:val="00A37B95"/>
  </w:style>
  <w:style w:type="paragraph" w:customStyle="1" w:styleId="A41262AAC17843CAAACD709D87D08FE6">
    <w:name w:val="A41262AAC17843CAAACD709D87D08FE6"/>
    <w:rsid w:val="00A37B95"/>
  </w:style>
  <w:style w:type="paragraph" w:customStyle="1" w:styleId="2FAF811FD564491A86DA85A65FEF4531">
    <w:name w:val="2FAF811FD564491A86DA85A65FEF4531"/>
    <w:rsid w:val="00A37B95"/>
  </w:style>
  <w:style w:type="paragraph" w:customStyle="1" w:styleId="FF51685D9D404B45B29058C0EB29ED81">
    <w:name w:val="FF51685D9D404B45B29058C0EB29ED81"/>
    <w:rsid w:val="00A37B95"/>
  </w:style>
  <w:style w:type="paragraph" w:customStyle="1" w:styleId="DECB156292A0472B902D65370192E514">
    <w:name w:val="DECB156292A0472B902D65370192E514"/>
    <w:rsid w:val="00A37B95"/>
  </w:style>
  <w:style w:type="paragraph" w:customStyle="1" w:styleId="2795EF934535438EA01F75BE7D264736">
    <w:name w:val="2795EF934535438EA01F75BE7D264736"/>
    <w:rsid w:val="00A37B95"/>
  </w:style>
  <w:style w:type="paragraph" w:customStyle="1" w:styleId="FF1F3393587C4DC48A9AB6640401FBA8">
    <w:name w:val="FF1F3393587C4DC48A9AB6640401FBA8"/>
    <w:rsid w:val="00A37B95"/>
  </w:style>
  <w:style w:type="paragraph" w:customStyle="1" w:styleId="59574A09597743FD9332E0220A87F4B7">
    <w:name w:val="59574A09597743FD9332E0220A87F4B7"/>
    <w:rsid w:val="00A37B95"/>
  </w:style>
  <w:style w:type="paragraph" w:customStyle="1" w:styleId="8C72B76036BF46CFABDF930164006C58">
    <w:name w:val="8C72B76036BF46CFABDF930164006C58"/>
    <w:rsid w:val="00A37B95"/>
  </w:style>
  <w:style w:type="paragraph" w:customStyle="1" w:styleId="6FB4B60468C64123B22481D159589B54">
    <w:name w:val="6FB4B60468C64123B22481D159589B54"/>
    <w:rsid w:val="00A37B95"/>
  </w:style>
  <w:style w:type="paragraph" w:customStyle="1" w:styleId="A344018D046B4D4FB7D7D2E847A0DA03">
    <w:name w:val="A344018D046B4D4FB7D7D2E847A0DA03"/>
    <w:rsid w:val="00A37B95"/>
  </w:style>
  <w:style w:type="paragraph" w:customStyle="1" w:styleId="C6A7112CA9E24128A1BB15F2595A77D3">
    <w:name w:val="C6A7112CA9E24128A1BB15F2595A77D3"/>
    <w:rsid w:val="00A37B95"/>
  </w:style>
  <w:style w:type="paragraph" w:customStyle="1" w:styleId="61D28603EDBF410BBCB4FBF3C686805E">
    <w:name w:val="61D28603EDBF410BBCB4FBF3C686805E"/>
    <w:rsid w:val="00A37B95"/>
  </w:style>
  <w:style w:type="paragraph" w:customStyle="1" w:styleId="7E4916B96A254C378FD7321C612E983E">
    <w:name w:val="7E4916B96A254C378FD7321C612E983E"/>
    <w:rsid w:val="00A37B95"/>
  </w:style>
  <w:style w:type="paragraph" w:customStyle="1" w:styleId="0A36C6FA32FD4ECE8D6D2F079BADC9EE">
    <w:name w:val="0A36C6FA32FD4ECE8D6D2F079BADC9EE"/>
    <w:rsid w:val="00A37B95"/>
  </w:style>
  <w:style w:type="paragraph" w:customStyle="1" w:styleId="82FB6D4192D541CD8D6178B8F49D9EE2">
    <w:name w:val="82FB6D4192D541CD8D6178B8F49D9EE2"/>
    <w:rsid w:val="00A37B95"/>
  </w:style>
  <w:style w:type="paragraph" w:customStyle="1" w:styleId="744EE4D3DDEE488FADB8F5D510E53FA3">
    <w:name w:val="744EE4D3DDEE488FADB8F5D510E53FA3"/>
    <w:rsid w:val="00A37B95"/>
  </w:style>
  <w:style w:type="paragraph" w:customStyle="1" w:styleId="198F155FEF7447C2AA3A69F23BA04BE5">
    <w:name w:val="198F155FEF7447C2AA3A69F23BA04BE5"/>
    <w:rsid w:val="00A37B95"/>
  </w:style>
  <w:style w:type="paragraph" w:customStyle="1" w:styleId="03ED2558713841ABA0314092C20BD437">
    <w:name w:val="03ED2558713841ABA0314092C20BD437"/>
    <w:rsid w:val="00A37B95"/>
  </w:style>
  <w:style w:type="paragraph" w:customStyle="1" w:styleId="99FC5747635044E3AC51FEC2427E52E5">
    <w:name w:val="99FC5747635044E3AC51FEC2427E52E5"/>
    <w:rsid w:val="00A37B95"/>
  </w:style>
  <w:style w:type="paragraph" w:customStyle="1" w:styleId="1C6FD3A8BECF448C86B3EA984DB0A83C">
    <w:name w:val="1C6FD3A8BECF448C86B3EA984DB0A83C"/>
    <w:rsid w:val="00A37B95"/>
  </w:style>
  <w:style w:type="paragraph" w:customStyle="1" w:styleId="5B973D57474745B997B35016C4E35897">
    <w:name w:val="5B973D57474745B997B35016C4E35897"/>
    <w:rsid w:val="00A37B95"/>
  </w:style>
  <w:style w:type="paragraph" w:customStyle="1" w:styleId="FA2F7EA71DC9456EB2A49B88D2678431">
    <w:name w:val="FA2F7EA71DC9456EB2A49B88D2678431"/>
    <w:rsid w:val="00A37B95"/>
  </w:style>
  <w:style w:type="paragraph" w:customStyle="1" w:styleId="3E48DF2344454ABABCEEA4561D258A5E">
    <w:name w:val="3E48DF2344454ABABCEEA4561D258A5E"/>
    <w:rsid w:val="00A37B95"/>
  </w:style>
  <w:style w:type="paragraph" w:customStyle="1" w:styleId="5772FDACF2F248D9811523B3B357F9C7">
    <w:name w:val="5772FDACF2F248D9811523B3B357F9C7"/>
    <w:rsid w:val="00A37B95"/>
  </w:style>
  <w:style w:type="paragraph" w:customStyle="1" w:styleId="5E84755A7AC24F6CA8B90FB492430083">
    <w:name w:val="5E84755A7AC24F6CA8B90FB492430083"/>
    <w:rsid w:val="00A37B95"/>
  </w:style>
  <w:style w:type="paragraph" w:customStyle="1" w:styleId="F484BF11BE244525888667937BFA01B1">
    <w:name w:val="F484BF11BE244525888667937BFA01B1"/>
    <w:rsid w:val="00A37B95"/>
  </w:style>
  <w:style w:type="paragraph" w:customStyle="1" w:styleId="2861147CE3994599A56E3F12BDC4B157">
    <w:name w:val="2861147CE3994599A56E3F12BDC4B157"/>
    <w:rsid w:val="00A37B95"/>
  </w:style>
  <w:style w:type="paragraph" w:customStyle="1" w:styleId="7E751B32410C48629104AF6AF140B86D">
    <w:name w:val="7E751B32410C48629104AF6AF140B86D"/>
    <w:rsid w:val="00A37B95"/>
  </w:style>
  <w:style w:type="paragraph" w:customStyle="1" w:styleId="CB252FED1D9F4B77B3CA16AC76F49567">
    <w:name w:val="CB252FED1D9F4B77B3CA16AC76F49567"/>
    <w:rsid w:val="00A37B95"/>
  </w:style>
  <w:style w:type="paragraph" w:customStyle="1" w:styleId="138D268330724E5A8BD59362521F8AA4">
    <w:name w:val="138D268330724E5A8BD59362521F8AA4"/>
    <w:rsid w:val="00A37B95"/>
  </w:style>
  <w:style w:type="paragraph" w:customStyle="1" w:styleId="FD490AD1FBC241A5905653A8875A3B7B">
    <w:name w:val="FD490AD1FBC241A5905653A8875A3B7B"/>
    <w:rsid w:val="00A37B95"/>
  </w:style>
  <w:style w:type="paragraph" w:customStyle="1" w:styleId="E3B3BCAE56604B0983787BA4D8C9B689">
    <w:name w:val="E3B3BCAE56604B0983787BA4D8C9B689"/>
    <w:rsid w:val="00A37B95"/>
  </w:style>
  <w:style w:type="paragraph" w:customStyle="1" w:styleId="2D2204870A454CF1B16E1440CE557801">
    <w:name w:val="2D2204870A454CF1B16E1440CE557801"/>
    <w:rsid w:val="00A37B95"/>
  </w:style>
  <w:style w:type="paragraph" w:customStyle="1" w:styleId="32F09C7BEB344335829F7BE01D97B732">
    <w:name w:val="32F09C7BEB344335829F7BE01D97B732"/>
    <w:rsid w:val="00A37B95"/>
  </w:style>
  <w:style w:type="paragraph" w:customStyle="1" w:styleId="2DE95F6948FB45AABBFA057E648E29E4">
    <w:name w:val="2DE95F6948FB45AABBFA057E648E29E4"/>
    <w:rsid w:val="00A37B95"/>
  </w:style>
  <w:style w:type="paragraph" w:customStyle="1" w:styleId="8B8D8CB2C4D54C169B9CC6B5D8290BA2">
    <w:name w:val="8B8D8CB2C4D54C169B9CC6B5D8290BA2"/>
    <w:rsid w:val="00A37B95"/>
  </w:style>
  <w:style w:type="paragraph" w:customStyle="1" w:styleId="D865EEDD923D479D9ADC28A4FE38F299">
    <w:name w:val="D865EEDD923D479D9ADC28A4FE38F299"/>
    <w:rsid w:val="00A37B95"/>
  </w:style>
  <w:style w:type="paragraph" w:customStyle="1" w:styleId="77631DB77FB44725B968014CCE1FA536">
    <w:name w:val="77631DB77FB44725B968014CCE1FA536"/>
    <w:rsid w:val="00A37B95"/>
  </w:style>
  <w:style w:type="paragraph" w:customStyle="1" w:styleId="F1F50A1EE4E14C8EA23BA6B2F0889274">
    <w:name w:val="F1F50A1EE4E14C8EA23BA6B2F0889274"/>
    <w:rsid w:val="00A37B95"/>
  </w:style>
  <w:style w:type="paragraph" w:customStyle="1" w:styleId="DD1D3870363B44DAA0AF6B75C76BC541">
    <w:name w:val="DD1D3870363B44DAA0AF6B75C76BC541"/>
    <w:rsid w:val="00A37B95"/>
  </w:style>
  <w:style w:type="paragraph" w:customStyle="1" w:styleId="B5341D2E2C664EBB9F96D44148FCA306">
    <w:name w:val="B5341D2E2C664EBB9F96D44148FCA306"/>
    <w:rsid w:val="00A37B95"/>
  </w:style>
  <w:style w:type="paragraph" w:customStyle="1" w:styleId="24DDAC4B916D4D1C800E95A47801A1AE">
    <w:name w:val="24DDAC4B916D4D1C800E95A47801A1AE"/>
    <w:rsid w:val="00A37B95"/>
  </w:style>
  <w:style w:type="paragraph" w:customStyle="1" w:styleId="69C2A3F4D2C44EE890ECF8888F8E1964">
    <w:name w:val="69C2A3F4D2C44EE890ECF8888F8E1964"/>
    <w:rsid w:val="00A37B95"/>
  </w:style>
  <w:style w:type="paragraph" w:customStyle="1" w:styleId="AAB55C3D144A4B3193A5AD9199DED224">
    <w:name w:val="AAB55C3D144A4B3193A5AD9199DED224"/>
    <w:rsid w:val="00A37B95"/>
  </w:style>
  <w:style w:type="paragraph" w:customStyle="1" w:styleId="E6C2266669D64385BCBF643C87C5AB8B">
    <w:name w:val="E6C2266669D64385BCBF643C87C5AB8B"/>
    <w:rsid w:val="00A37B95"/>
  </w:style>
  <w:style w:type="paragraph" w:customStyle="1" w:styleId="0CEF137C278841D190CB3D985C08CA9C">
    <w:name w:val="0CEF137C278841D190CB3D985C08CA9C"/>
    <w:rsid w:val="00A37B95"/>
  </w:style>
  <w:style w:type="paragraph" w:customStyle="1" w:styleId="38A98025597F44C49C86D7974582062D">
    <w:name w:val="38A98025597F44C49C86D7974582062D"/>
    <w:rsid w:val="00A37B95"/>
  </w:style>
  <w:style w:type="paragraph" w:customStyle="1" w:styleId="52ED9BC1661F4DBCB849692DF3B8F65F">
    <w:name w:val="52ED9BC1661F4DBCB849692DF3B8F65F"/>
    <w:rsid w:val="00A37B95"/>
  </w:style>
  <w:style w:type="paragraph" w:customStyle="1" w:styleId="5CFC31CA27D44FF484BB77801364A13A">
    <w:name w:val="5CFC31CA27D44FF484BB77801364A13A"/>
    <w:rsid w:val="00A37B95"/>
  </w:style>
  <w:style w:type="paragraph" w:customStyle="1" w:styleId="81DF7D4398A046069368667612B31A1E">
    <w:name w:val="81DF7D4398A046069368667612B31A1E"/>
    <w:rsid w:val="00A37B95"/>
  </w:style>
  <w:style w:type="paragraph" w:customStyle="1" w:styleId="E7A82B46A2984FDF9FAF5A58EEDEF8C7">
    <w:name w:val="E7A82B46A2984FDF9FAF5A58EEDEF8C7"/>
    <w:rsid w:val="00A37B95"/>
  </w:style>
  <w:style w:type="paragraph" w:customStyle="1" w:styleId="39027B30B90D42DAB6E6CC7BCBAAC6B9">
    <w:name w:val="39027B30B90D42DAB6E6CC7BCBAAC6B9"/>
    <w:rsid w:val="00A37B95"/>
  </w:style>
  <w:style w:type="paragraph" w:customStyle="1" w:styleId="AC27975D18BC493DA33FBB70102FFC2A">
    <w:name w:val="AC27975D18BC493DA33FBB70102FFC2A"/>
    <w:rsid w:val="00A37B95"/>
  </w:style>
  <w:style w:type="paragraph" w:customStyle="1" w:styleId="1C2CB99838114AB9B91F6EB3443B05D1">
    <w:name w:val="1C2CB99838114AB9B91F6EB3443B05D1"/>
    <w:rsid w:val="00A37B95"/>
  </w:style>
  <w:style w:type="paragraph" w:customStyle="1" w:styleId="F2C48B5A954340BFACAF81E211F905F8">
    <w:name w:val="F2C48B5A954340BFACAF81E211F905F8"/>
    <w:rsid w:val="00A37B95"/>
  </w:style>
  <w:style w:type="character" w:styleId="PlaceholderText">
    <w:name w:val="Placeholder Text"/>
    <w:basedOn w:val="DefaultParagraphFont"/>
    <w:uiPriority w:val="2"/>
    <w:rsid w:val="00A37B95"/>
    <w:rPr>
      <w:i/>
      <w:iCs/>
      <w:color w:val="808080"/>
    </w:rPr>
  </w:style>
  <w:style w:type="paragraph" w:customStyle="1" w:styleId="ABEC8B32B9F6433CA8CC108FC9314494">
    <w:name w:val="ABEC8B32B9F6433CA8CC108FC9314494"/>
    <w:rsid w:val="00A37B95"/>
  </w:style>
  <w:style w:type="paragraph" w:customStyle="1" w:styleId="225355914427492EB1E726A4F1CEBBAD">
    <w:name w:val="225355914427492EB1E726A4F1CEBBAD"/>
    <w:rsid w:val="00A37B95"/>
  </w:style>
  <w:style w:type="paragraph" w:customStyle="1" w:styleId="4227E42FBF5D41A59CD15B3F24269B15">
    <w:name w:val="4227E42FBF5D41A59CD15B3F24269B15"/>
    <w:rsid w:val="00A37B95"/>
  </w:style>
  <w:style w:type="paragraph" w:customStyle="1" w:styleId="99607A9B211B4F85A54D48F330976275">
    <w:name w:val="99607A9B211B4F85A54D48F330976275"/>
    <w:rsid w:val="00A37B95"/>
  </w:style>
  <w:style w:type="paragraph" w:customStyle="1" w:styleId="8E502296C26D44AC8C8F3372DFD50EA2">
    <w:name w:val="8E502296C26D44AC8C8F3372DFD50EA2"/>
    <w:rsid w:val="00A37B95"/>
  </w:style>
  <w:style w:type="paragraph" w:customStyle="1" w:styleId="421736B0873B407A89700734F39D1397">
    <w:name w:val="421736B0873B407A89700734F39D1397"/>
    <w:rsid w:val="00A37B95"/>
  </w:style>
  <w:style w:type="paragraph" w:customStyle="1" w:styleId="101594174D704EACB9C18E88CF95CCD2">
    <w:name w:val="101594174D704EACB9C18E88CF95CCD2"/>
    <w:rsid w:val="00A37B95"/>
  </w:style>
  <w:style w:type="paragraph" w:customStyle="1" w:styleId="43EBAD07950B493FB428724BA27390BC">
    <w:name w:val="43EBAD07950B493FB428724BA27390BC"/>
    <w:rsid w:val="00A37B95"/>
  </w:style>
  <w:style w:type="paragraph" w:customStyle="1" w:styleId="E6A06BE7254B480C876A74773061CA2D">
    <w:name w:val="E6A06BE7254B480C876A74773061CA2D"/>
    <w:rsid w:val="00A37B95"/>
  </w:style>
  <w:style w:type="paragraph" w:customStyle="1" w:styleId="F916F723EA7F4701B2FDC580C8E2E67F">
    <w:name w:val="F916F723EA7F4701B2FDC580C8E2E67F"/>
    <w:rsid w:val="00A37B95"/>
  </w:style>
  <w:style w:type="paragraph" w:customStyle="1" w:styleId="42CBD9A81FBC442194B0CCE82C88991E">
    <w:name w:val="42CBD9A81FBC442194B0CCE82C88991E"/>
    <w:rsid w:val="00A37B95"/>
  </w:style>
  <w:style w:type="paragraph" w:customStyle="1" w:styleId="FFC0FC91A9814EFDB4E0544E236D7CFD">
    <w:name w:val="FFC0FC91A9814EFDB4E0544E236D7CFD"/>
    <w:rsid w:val="00A37B95"/>
  </w:style>
  <w:style w:type="paragraph" w:customStyle="1" w:styleId="1E920047A26D4B48B6BA13C28CD5E232">
    <w:name w:val="1E920047A26D4B48B6BA13C28CD5E232"/>
    <w:rsid w:val="00A37B95"/>
  </w:style>
  <w:style w:type="paragraph" w:customStyle="1" w:styleId="3EDACD771B9C45DDA2A62A6D8DA0D513">
    <w:name w:val="3EDACD771B9C45DDA2A62A6D8DA0D513"/>
    <w:rsid w:val="00A37B95"/>
  </w:style>
  <w:style w:type="paragraph" w:customStyle="1" w:styleId="548B630ECFB44DDAA63BE28F770879A8">
    <w:name w:val="548B630ECFB44DDAA63BE28F770879A8"/>
    <w:rsid w:val="00A37B95"/>
  </w:style>
  <w:style w:type="paragraph" w:customStyle="1" w:styleId="9AC034CFC02A41278BA6000081793F5C">
    <w:name w:val="9AC034CFC02A41278BA6000081793F5C"/>
    <w:rsid w:val="00A37B95"/>
  </w:style>
  <w:style w:type="paragraph" w:customStyle="1" w:styleId="AA5ABE17EC4C4A798F7125F44D229FBA">
    <w:name w:val="AA5ABE17EC4C4A798F7125F44D229FBA"/>
    <w:rsid w:val="00A37B95"/>
  </w:style>
  <w:style w:type="paragraph" w:customStyle="1" w:styleId="A3D9C5A2DD7045239EB54EACA00659DE">
    <w:name w:val="A3D9C5A2DD7045239EB54EACA00659DE"/>
    <w:rsid w:val="00A37B95"/>
  </w:style>
  <w:style w:type="paragraph" w:customStyle="1" w:styleId="9F11CD3FEAEE42A1B53F2C55C9A55D73">
    <w:name w:val="9F11CD3FEAEE42A1B53F2C55C9A55D73"/>
    <w:rsid w:val="00A37B95"/>
  </w:style>
  <w:style w:type="paragraph" w:customStyle="1" w:styleId="67662898444C4E01B21D0B8516B8CFB4">
    <w:name w:val="67662898444C4E01B21D0B8516B8CFB4"/>
    <w:rsid w:val="00A37B95"/>
  </w:style>
  <w:style w:type="paragraph" w:customStyle="1" w:styleId="EF282B767856462FBFF868CB9E8BDF03">
    <w:name w:val="EF282B767856462FBFF868CB9E8BDF03"/>
    <w:rsid w:val="00A37B95"/>
  </w:style>
  <w:style w:type="paragraph" w:customStyle="1" w:styleId="F3078FF38D0044DD99BBF4BF9A3FE7E9">
    <w:name w:val="F3078FF38D0044DD99BBF4BF9A3FE7E9"/>
    <w:rsid w:val="00A37B95"/>
  </w:style>
  <w:style w:type="paragraph" w:customStyle="1" w:styleId="9B566F2C38784730B73E0CF27E934BA7">
    <w:name w:val="9B566F2C38784730B73E0CF27E934BA7"/>
    <w:rsid w:val="00A37B95"/>
  </w:style>
  <w:style w:type="paragraph" w:customStyle="1" w:styleId="F31C873799454A0F84BCD0452902FA5C">
    <w:name w:val="F31C873799454A0F84BCD0452902FA5C"/>
    <w:rsid w:val="00A37B95"/>
  </w:style>
  <w:style w:type="paragraph" w:customStyle="1" w:styleId="078A003781BB4762AC4CBEA093CC2601">
    <w:name w:val="078A003781BB4762AC4CBEA093CC2601"/>
    <w:rsid w:val="00A37B95"/>
  </w:style>
  <w:style w:type="paragraph" w:customStyle="1" w:styleId="964BE969B223469CAC9D814B9DADA902">
    <w:name w:val="964BE969B223469CAC9D814B9DADA902"/>
    <w:rsid w:val="00A37B95"/>
  </w:style>
  <w:style w:type="paragraph" w:customStyle="1" w:styleId="5A2CE0B0C29B434F9AC8829E3BDA97DE">
    <w:name w:val="5A2CE0B0C29B434F9AC8829E3BDA97DE"/>
    <w:rsid w:val="00A37B95"/>
  </w:style>
  <w:style w:type="paragraph" w:customStyle="1" w:styleId="A166A9D33D5443AB9FD6642359525BC4">
    <w:name w:val="A166A9D33D5443AB9FD6642359525BC4"/>
    <w:rsid w:val="00A37B95"/>
  </w:style>
  <w:style w:type="paragraph" w:customStyle="1" w:styleId="A0E54E3A0E5441809481E553758FDA1F">
    <w:name w:val="A0E54E3A0E5441809481E553758FDA1F"/>
    <w:rsid w:val="00A37B95"/>
  </w:style>
  <w:style w:type="paragraph" w:customStyle="1" w:styleId="3002116095CD4B9D9A993306AD607164">
    <w:name w:val="3002116095CD4B9D9A993306AD607164"/>
    <w:rsid w:val="00A37B95"/>
  </w:style>
  <w:style w:type="paragraph" w:customStyle="1" w:styleId="AAF39D72419A40CA93A341DA45FCB205">
    <w:name w:val="AAF39D72419A40CA93A341DA45FCB205"/>
    <w:rsid w:val="00A37B95"/>
  </w:style>
  <w:style w:type="paragraph" w:customStyle="1" w:styleId="8E17B642B8714AD39CB29DBAB6582E0D">
    <w:name w:val="8E17B642B8714AD39CB29DBAB6582E0D"/>
    <w:rsid w:val="00A37B95"/>
  </w:style>
  <w:style w:type="paragraph" w:customStyle="1" w:styleId="7838749CF5EA404F84BD08888907211C">
    <w:name w:val="7838749CF5EA404F84BD08888907211C"/>
    <w:rsid w:val="00A37B95"/>
  </w:style>
  <w:style w:type="paragraph" w:customStyle="1" w:styleId="59E5E294956944A4AED364CEEF36E7C0">
    <w:name w:val="59E5E294956944A4AED364CEEF36E7C0"/>
    <w:rsid w:val="002D3E91"/>
  </w:style>
  <w:style w:type="paragraph" w:customStyle="1" w:styleId="266DA69AAB1E4EB89B0AD6395D6B1302">
    <w:name w:val="266DA69AAB1E4EB89B0AD6395D6B1302"/>
    <w:rsid w:val="002D3E91"/>
  </w:style>
  <w:style w:type="paragraph" w:customStyle="1" w:styleId="75943C141AF64D9BB7AB773DF5AF541F">
    <w:name w:val="75943C141AF64D9BB7AB773DF5AF541F"/>
    <w:rsid w:val="002D3E91"/>
  </w:style>
  <w:style w:type="paragraph" w:customStyle="1" w:styleId="094F52EA7318420B88BAAE06742F7A90">
    <w:name w:val="094F52EA7318420B88BAAE06742F7A90"/>
    <w:rsid w:val="002D3E91"/>
  </w:style>
  <w:style w:type="paragraph" w:customStyle="1" w:styleId="3C8CA45CC7E54B61BF01C874D4809F2F">
    <w:name w:val="3C8CA45CC7E54B61BF01C874D4809F2F"/>
    <w:rsid w:val="002D3E91"/>
  </w:style>
  <w:style w:type="paragraph" w:customStyle="1" w:styleId="05DC73704E1A4D49BEE11240F4F35253">
    <w:name w:val="05DC73704E1A4D49BEE11240F4F35253"/>
    <w:rsid w:val="002D3E91"/>
  </w:style>
  <w:style w:type="paragraph" w:customStyle="1" w:styleId="60D12A8C54E54F40A561424C6BE5E437">
    <w:name w:val="60D12A8C54E54F40A561424C6BE5E437"/>
    <w:rsid w:val="002D3E91"/>
  </w:style>
  <w:style w:type="paragraph" w:customStyle="1" w:styleId="314902DD480B4C35844273025AB96C57">
    <w:name w:val="314902DD480B4C35844273025AB96C57"/>
    <w:rsid w:val="002D3E91"/>
  </w:style>
  <w:style w:type="paragraph" w:customStyle="1" w:styleId="6F28CA9A40534EDD8BD16536EF59E3A1">
    <w:name w:val="6F28CA9A40534EDD8BD16536EF59E3A1"/>
    <w:rsid w:val="00AC0B2C"/>
  </w:style>
  <w:style w:type="paragraph" w:customStyle="1" w:styleId="559F7EA859D64C0FAC54E73C266A02B9">
    <w:name w:val="559F7EA859D64C0FAC54E73C266A02B9"/>
    <w:rsid w:val="00FC6536"/>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actical business marketing plan">
  <a:themeElements>
    <a:clrScheme name="Custom 10">
      <a:dk1>
        <a:sysClr val="windowText" lastClr="000000"/>
      </a:dk1>
      <a:lt1>
        <a:sysClr val="window" lastClr="FFFFFF"/>
      </a:lt1>
      <a:dk2>
        <a:srgbClr val="335B74"/>
      </a:dk2>
      <a:lt2>
        <a:srgbClr val="DFE3E5"/>
      </a:lt2>
      <a:accent1>
        <a:srgbClr val="3F3F3F"/>
      </a:accent1>
      <a:accent2>
        <a:srgbClr val="3F3F3F"/>
      </a:accent2>
      <a:accent3>
        <a:srgbClr val="00B050"/>
      </a:accent3>
      <a:accent4>
        <a:srgbClr val="42BA97"/>
      </a:accent4>
      <a:accent5>
        <a:srgbClr val="3E8853"/>
      </a:accent5>
      <a:accent6>
        <a:srgbClr val="62A39F"/>
      </a:accent6>
      <a:hlink>
        <a:srgbClr val="6EAC1C"/>
      </a:hlink>
      <a:folHlink>
        <a:srgbClr val="B26B02"/>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AUGUST 2020</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9DBFD4-6DF6-4454-8787-4A735C13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Tactical business marketing plan</Template>
  <TotalTime>0</TotalTime>
  <Pages>58</Pages>
  <Words>16146</Words>
  <Characters>92034</Characters>
  <Application>Microsoft Office Word</Application>
  <DocSecurity>4</DocSecurity>
  <Lines>766</Lines>
  <Paragraphs>215</Paragraphs>
  <ScaleCrop>false</ScaleCrop>
  <HeadingPairs>
    <vt:vector size="8" baseType="variant">
      <vt:variant>
        <vt:lpstr>Title</vt:lpstr>
      </vt:variant>
      <vt:variant>
        <vt:i4>1</vt:i4>
      </vt:variant>
      <vt:variant>
        <vt:lpstr>Títol</vt:lpstr>
      </vt:variant>
      <vt:variant>
        <vt:i4>1</vt:i4>
      </vt:variant>
      <vt:variant>
        <vt:lpstr>Titre</vt:lpstr>
      </vt:variant>
      <vt:variant>
        <vt:i4>1</vt:i4>
      </vt:variant>
      <vt:variant>
        <vt:lpstr>Otsikko</vt:lpstr>
      </vt:variant>
      <vt:variant>
        <vt:i4>1</vt:i4>
      </vt:variant>
    </vt:vector>
  </HeadingPairs>
  <TitlesOfParts>
    <vt:vector size="4" baseType="lpstr">
      <vt:lpstr/>
      <vt:lpstr/>
      <vt:lpstr/>
      <vt:lpstr/>
    </vt:vector>
  </TitlesOfParts>
  <Company>Fimea</Company>
  <LinksUpToDate>false</LinksUpToDate>
  <CharactersWithSpaces>107965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Report on the outcome and conclusions of the survey, desk-based review of preparation process authorisations in other fields and the multi-country workshop</dc:subject>
  <dc:creator>user</dc:creator>
  <cp:keywords>This report is part of the project/joint action ‘785269/GAPP’ which has received funding from the European Union’s Health Programme (2014-2020). The content of this report represents the views of the author only and is his/her sole responsibility; it can not be considered to reflect the views of the European Commission and/or the Consumers, Health, Agriculture and Food Executive Agency or any other body of the European Union. The European Commission and the Agency do not accept any responsibility for use that may be made of the information it contains.</cp:keywords>
  <cp:lastModifiedBy>Laura Hickey</cp:lastModifiedBy>
  <cp:revision>2</cp:revision>
  <cp:lastPrinted>2019-05-13T12:24:00Z</cp:lastPrinted>
  <dcterms:created xsi:type="dcterms:W3CDTF">2020-08-15T13:44:00Z</dcterms:created>
  <dcterms:modified xsi:type="dcterms:W3CDTF">2020-08-15T13:44:00Z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2018-04-07T04:43:58.0549681Z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