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7E078" w14:textId="77777777" w:rsidR="00A638EC" w:rsidRPr="00E14801" w:rsidRDefault="001B1BA1" w:rsidP="0011204D">
      <w:pPr>
        <w:pStyle w:val="Subtitle"/>
        <w:jc w:val="right"/>
        <w:rPr>
          <w:rFonts w:cstheme="minorHAnsi"/>
          <w:sz w:val="24"/>
          <w:szCs w:val="24"/>
        </w:rPr>
      </w:pPr>
      <w:bookmarkStart w:id="0" w:name="_GoBack"/>
      <w:bookmarkEnd w:id="0"/>
      <w:r w:rsidRPr="00E14801">
        <w:rPr>
          <w:rFonts w:cstheme="minorHAnsi"/>
          <w:sz w:val="24"/>
          <w:szCs w:val="24"/>
        </w:rPr>
        <w:t>DELIVERABLE</w:t>
      </w:r>
      <w:r w:rsidR="00A638EC" w:rsidRPr="00E14801">
        <w:rPr>
          <w:rFonts w:cstheme="minorHAnsi"/>
          <w:sz w:val="24"/>
          <w:szCs w:val="24"/>
        </w:rPr>
        <w:t xml:space="preserve"> </w:t>
      </w:r>
      <w:r w:rsidR="008F1182" w:rsidRPr="00E14801">
        <w:rPr>
          <w:rFonts w:cstheme="minorHAnsi"/>
          <w:sz w:val="24"/>
          <w:szCs w:val="24"/>
        </w:rPr>
        <w:t>7.1</w:t>
      </w:r>
    </w:p>
    <w:p w14:paraId="7ECB20E6" w14:textId="01B26B29" w:rsidR="00A638EC" w:rsidRPr="00E14801" w:rsidRDefault="005676C9" w:rsidP="0011204D">
      <w:pPr>
        <w:pStyle w:val="Subtitle"/>
        <w:jc w:val="right"/>
        <w:rPr>
          <w:rFonts w:cstheme="minorHAnsi"/>
          <w:sz w:val="24"/>
          <w:szCs w:val="24"/>
        </w:rPr>
      </w:pPr>
      <w:sdt>
        <w:sdtPr>
          <w:rPr>
            <w:rFonts w:cstheme="minorHAnsi"/>
            <w:sz w:val="24"/>
            <w:szCs w:val="24"/>
          </w:rPr>
          <w:alias w:val="Enter date:"/>
          <w:tag w:val="Enter date:"/>
          <w:id w:val="-664086759"/>
          <w:placeholder>
            <w:docPart w:val="02CD0987310A4191BAFACB842CA5FAE2"/>
          </w:placeholder>
          <w:dataBinding w:prefixMappings="xmlns:ns0='http://schemas.microsoft.com/office/2006/coverPageProps' " w:xpath="/ns0:CoverPageProperties[1]/ns0:CompanyFax[1]" w:storeItemID="{55AF091B-3C7A-41E3-B477-F2FDAA23CFDA}"/>
          <w:text/>
        </w:sdtPr>
        <w:sdtEndPr/>
        <w:sdtContent>
          <w:r w:rsidR="004A2315">
            <w:rPr>
              <w:rFonts w:cstheme="minorHAnsi"/>
              <w:sz w:val="24"/>
              <w:szCs w:val="24"/>
            </w:rPr>
            <w:t>27</w:t>
          </w:r>
          <w:r w:rsidR="004045CD" w:rsidRPr="00E14801">
            <w:rPr>
              <w:rFonts w:cstheme="minorHAnsi"/>
              <w:sz w:val="24"/>
              <w:szCs w:val="24"/>
            </w:rPr>
            <w:t xml:space="preserve"> </w:t>
          </w:r>
          <w:r w:rsidR="004045CD">
            <w:rPr>
              <w:rFonts w:cstheme="minorHAnsi"/>
              <w:sz w:val="24"/>
              <w:szCs w:val="24"/>
            </w:rPr>
            <w:t>may</w:t>
          </w:r>
          <w:r w:rsidR="004045CD" w:rsidRPr="00E14801">
            <w:rPr>
              <w:rFonts w:cstheme="minorHAnsi"/>
              <w:sz w:val="24"/>
              <w:szCs w:val="24"/>
            </w:rPr>
            <w:t xml:space="preserve"> 2020</w:t>
          </w:r>
        </w:sdtContent>
      </w:sdt>
    </w:p>
    <w:p w14:paraId="32599AED" w14:textId="77777777" w:rsidR="009D0AC7" w:rsidRPr="003F1A36" w:rsidRDefault="009D0AC7" w:rsidP="0011204D">
      <w:pPr>
        <w:jc w:val="right"/>
        <w:rPr>
          <w:rFonts w:asciiTheme="majorHAnsi" w:eastAsiaTheme="majorEastAsia" w:hAnsiTheme="majorHAnsi" w:cstheme="majorHAnsi"/>
          <w:caps/>
          <w:color w:val="2F2F2F" w:themeColor="accent2" w:themeShade="BF"/>
          <w:sz w:val="52"/>
          <w:szCs w:val="52"/>
        </w:rPr>
      </w:pPr>
    </w:p>
    <w:p w14:paraId="51BA186E" w14:textId="454CE77E" w:rsidR="00033061" w:rsidRPr="00E14801" w:rsidRDefault="008C4F6F" w:rsidP="0011204D">
      <w:pPr>
        <w:jc w:val="right"/>
        <w:rPr>
          <w:rFonts w:eastAsiaTheme="majorEastAsia" w:cstheme="minorHAnsi"/>
          <w:caps/>
          <w:color w:val="2F2F2F" w:themeColor="accent2" w:themeShade="BF"/>
          <w:sz w:val="24"/>
          <w:szCs w:val="24"/>
        </w:rPr>
      </w:pPr>
      <w:r w:rsidRPr="00917846">
        <w:rPr>
          <w:rFonts w:asciiTheme="majorHAnsi" w:eastAsiaTheme="majorEastAsia" w:hAnsiTheme="majorHAnsi" w:cstheme="majorHAnsi"/>
          <w:caps/>
          <w:color w:val="2F2F2F" w:themeColor="accent2" w:themeShade="BF"/>
          <w:sz w:val="52"/>
          <w:szCs w:val="52"/>
          <w:lang w:val="en-GB"/>
        </w:rPr>
        <w:t>Facilitatin</w:t>
      </w:r>
      <w:r w:rsidRPr="00917846">
        <w:rPr>
          <w:rFonts w:asciiTheme="majorHAnsi" w:eastAsiaTheme="majorEastAsia" w:hAnsiTheme="majorHAnsi" w:cstheme="majorHAnsi"/>
          <w:b/>
          <w:caps/>
          <w:color w:val="EC1856"/>
          <w:sz w:val="56"/>
          <w:szCs w:val="52"/>
          <w:lang w:val="en-GB"/>
        </w:rPr>
        <w:t>g</w:t>
      </w:r>
      <w:r w:rsidRPr="00917846">
        <w:rPr>
          <w:rFonts w:asciiTheme="majorHAnsi" w:eastAsiaTheme="majorEastAsia" w:hAnsiTheme="majorHAnsi" w:cstheme="majorHAnsi"/>
          <w:caps/>
          <w:color w:val="2F2F2F" w:themeColor="accent2" w:themeShade="BF"/>
          <w:sz w:val="52"/>
          <w:szCs w:val="52"/>
          <w:lang w:val="en-GB"/>
        </w:rPr>
        <w:t xml:space="preserve"> the </w:t>
      </w:r>
      <w:r w:rsidRPr="00917846">
        <w:rPr>
          <w:rFonts w:asciiTheme="majorHAnsi" w:eastAsiaTheme="majorEastAsia" w:hAnsiTheme="majorHAnsi" w:cstheme="majorHAnsi"/>
          <w:b/>
          <w:caps/>
          <w:color w:val="FFC000"/>
          <w:sz w:val="56"/>
          <w:szCs w:val="52"/>
          <w:lang w:val="en-GB"/>
        </w:rPr>
        <w:t>A</w:t>
      </w:r>
      <w:r w:rsidRPr="00917846">
        <w:rPr>
          <w:rFonts w:asciiTheme="majorHAnsi" w:eastAsiaTheme="majorEastAsia" w:hAnsiTheme="majorHAnsi" w:cstheme="majorHAnsi"/>
          <w:caps/>
          <w:color w:val="2F2F2F" w:themeColor="accent2" w:themeShade="BF"/>
          <w:sz w:val="52"/>
          <w:szCs w:val="52"/>
          <w:lang w:val="en-GB"/>
        </w:rPr>
        <w:t>uthorisation of</w:t>
      </w:r>
    </w:p>
    <w:p w14:paraId="323AE3DF" w14:textId="3ECCFB85" w:rsidR="008C4F6F" w:rsidRDefault="008F1182" w:rsidP="008C4F6F">
      <w:pPr>
        <w:jc w:val="right"/>
        <w:rPr>
          <w:rFonts w:cstheme="minorHAnsi"/>
          <w:sz w:val="24"/>
          <w:szCs w:val="24"/>
        </w:rPr>
      </w:pPr>
      <w:r w:rsidRPr="00E14801">
        <w:rPr>
          <w:rFonts w:cstheme="minorHAnsi"/>
          <w:noProof/>
          <w:sz w:val="24"/>
          <w:szCs w:val="24"/>
          <w:lang w:val="fi-FI" w:eastAsia="fi-FI"/>
        </w:rPr>
        <w:drawing>
          <wp:anchor distT="0" distB="0" distL="114300" distR="114300" simplePos="0" relativeHeight="251658240" behindDoc="0" locked="0" layoutInCell="1" allowOverlap="1" wp14:anchorId="2BD5583B" wp14:editId="32A6AC92">
            <wp:simplePos x="0" y="0"/>
            <wp:positionH relativeFrom="column">
              <wp:posOffset>1764665</wp:posOffset>
            </wp:positionH>
            <wp:positionV relativeFrom="paragraph">
              <wp:posOffset>96520</wp:posOffset>
            </wp:positionV>
            <wp:extent cx="4205605" cy="160528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5605" cy="1605280"/>
                    </a:xfrm>
                    <a:prstGeom prst="rect">
                      <a:avLst/>
                    </a:prstGeom>
                    <a:noFill/>
                    <a:ln>
                      <a:noFill/>
                    </a:ln>
                  </pic:spPr>
                </pic:pic>
              </a:graphicData>
            </a:graphic>
          </wp:anchor>
        </w:drawing>
      </w:r>
      <w:r w:rsidR="008C4F6F" w:rsidRPr="00917846">
        <w:rPr>
          <w:rFonts w:asciiTheme="majorHAnsi" w:eastAsiaTheme="majorEastAsia" w:hAnsiTheme="majorHAnsi" w:cstheme="majorHAnsi"/>
          <w:b/>
          <w:caps/>
          <w:color w:val="92D050"/>
          <w:sz w:val="56"/>
          <w:szCs w:val="52"/>
          <w:lang w:val="en-GB"/>
        </w:rPr>
        <w:t>P</w:t>
      </w:r>
      <w:r w:rsidR="008C4F6F" w:rsidRPr="00917846">
        <w:rPr>
          <w:rFonts w:asciiTheme="majorHAnsi" w:eastAsiaTheme="majorEastAsia" w:hAnsiTheme="majorHAnsi" w:cstheme="majorHAnsi"/>
          <w:caps/>
          <w:color w:val="2F2F2F" w:themeColor="accent2" w:themeShade="BF"/>
          <w:sz w:val="52"/>
          <w:szCs w:val="52"/>
          <w:lang w:val="en-GB"/>
        </w:rPr>
        <w:t xml:space="preserve">reparation </w:t>
      </w:r>
      <w:r w:rsidR="008C4F6F" w:rsidRPr="00917846">
        <w:rPr>
          <w:rFonts w:asciiTheme="majorHAnsi" w:eastAsiaTheme="majorEastAsia" w:hAnsiTheme="majorHAnsi" w:cstheme="majorHAnsi"/>
          <w:b/>
          <w:caps/>
          <w:color w:val="00B0F0"/>
          <w:sz w:val="56"/>
          <w:szCs w:val="52"/>
          <w:lang w:val="en-GB"/>
        </w:rPr>
        <w:t>P</w:t>
      </w:r>
      <w:r w:rsidR="008C4F6F" w:rsidRPr="00917846">
        <w:rPr>
          <w:rFonts w:asciiTheme="majorHAnsi" w:eastAsiaTheme="majorEastAsia" w:hAnsiTheme="majorHAnsi" w:cstheme="majorHAnsi"/>
          <w:caps/>
          <w:color w:val="2F2F2F" w:themeColor="accent2" w:themeShade="BF"/>
          <w:sz w:val="52"/>
          <w:szCs w:val="52"/>
          <w:lang w:val="en-GB"/>
        </w:rPr>
        <w:t>rocess for blood, tissues and cells</w:t>
      </w:r>
      <w:r w:rsidR="008C4F6F">
        <w:rPr>
          <w:rFonts w:cstheme="minorHAnsi"/>
          <w:sz w:val="24"/>
          <w:szCs w:val="24"/>
        </w:rPr>
        <w:t xml:space="preserve"> </w:t>
      </w:r>
    </w:p>
    <w:p w14:paraId="58D9F2F5" w14:textId="77777777" w:rsidR="009D0AC7" w:rsidRPr="008C4F6F" w:rsidRDefault="009D0AC7" w:rsidP="008C4F6F">
      <w:pPr>
        <w:jc w:val="right"/>
        <w:rPr>
          <w:rFonts w:eastAsiaTheme="majorEastAsia" w:cstheme="minorHAnsi"/>
          <w:caps/>
          <w:color w:val="2F2F2F" w:themeColor="accent2" w:themeShade="BF"/>
          <w:sz w:val="24"/>
          <w:szCs w:val="24"/>
        </w:rPr>
      </w:pPr>
    </w:p>
    <w:p w14:paraId="7DBE1424" w14:textId="39B0936F" w:rsidR="00A638EC" w:rsidRPr="00A4298D" w:rsidRDefault="005676C9" w:rsidP="0011204D">
      <w:pPr>
        <w:pStyle w:val="Subtitle"/>
        <w:rPr>
          <w:b/>
        </w:rPr>
      </w:pPr>
      <w:sdt>
        <w:sdtPr>
          <w:rPr>
            <w:rFonts w:asciiTheme="majorHAnsi" w:hAnsiTheme="majorHAnsi" w:cstheme="majorHAnsi"/>
            <w:b/>
            <w:sz w:val="40"/>
            <w:szCs w:val="40"/>
          </w:rPr>
          <w:alias w:val="Enter subtitle:"/>
          <w:tag w:val="Enter subtitle:"/>
          <w:id w:val="1134748392"/>
          <w:placeholder>
            <w:docPart w:val="9AC8044EFEF242EF9B5D7CF98B43DB87"/>
          </w:placeholder>
          <w:dataBinding w:prefixMappings="xmlns:ns0='http://purl.org/dc/elements/1.1/' xmlns:ns1='http://schemas.openxmlformats.org/package/2006/metadata/core-properties' " w:xpath="/ns1:coreProperties[1]/ns0:subject[1]" w:storeItemID="{6C3C8BC8-F283-45AE-878A-BAB7291924A1}"/>
          <w:text/>
        </w:sdtPr>
        <w:sdtEndPr/>
        <w:sdtContent>
          <w:r w:rsidR="009D0AC7" w:rsidRPr="00FE79A4">
            <w:rPr>
              <w:rFonts w:asciiTheme="majorHAnsi" w:hAnsiTheme="majorHAnsi" w:cstheme="majorHAnsi"/>
              <w:b/>
              <w:caps w:val="0"/>
              <w:sz w:val="40"/>
              <w:szCs w:val="40"/>
            </w:rPr>
            <w:t>Technical annex 2 to overall guidance: assessing the quality and safety of donor testing, pathogen reduction and sterilisation steps as part of Preparation Process Authorisation (PPA</w:t>
          </w:r>
          <w:r w:rsidR="002A28EB" w:rsidRPr="00FE79A4">
            <w:rPr>
              <w:rFonts w:asciiTheme="majorHAnsi" w:hAnsiTheme="majorHAnsi" w:cstheme="majorHAnsi"/>
              <w:b/>
              <w:sz w:val="40"/>
              <w:szCs w:val="40"/>
            </w:rPr>
            <w:t>)</w:t>
          </w:r>
        </w:sdtContent>
      </w:sdt>
    </w:p>
    <w:p w14:paraId="0017998D" w14:textId="77777777" w:rsidR="00033061" w:rsidRPr="00E14801" w:rsidRDefault="00033061" w:rsidP="0011204D">
      <w:pPr>
        <w:rPr>
          <w:rFonts w:cstheme="minorHAnsi"/>
          <w:sz w:val="24"/>
          <w:szCs w:val="24"/>
        </w:rPr>
      </w:pPr>
    </w:p>
    <w:tbl>
      <w:tblPr>
        <w:tblStyle w:val="GridTable1Light-Accent21"/>
        <w:tblW w:w="5000" w:type="pct"/>
        <w:tblCellMar>
          <w:left w:w="0" w:type="dxa"/>
          <w:right w:w="0" w:type="dxa"/>
        </w:tblCellMar>
        <w:tblLook w:val="04A0" w:firstRow="1" w:lastRow="0" w:firstColumn="1" w:lastColumn="0" w:noHBand="0" w:noVBand="1"/>
      </w:tblPr>
      <w:tblGrid>
        <w:gridCol w:w="2465"/>
        <w:gridCol w:w="6895"/>
      </w:tblGrid>
      <w:tr w:rsidR="00033061" w:rsidRPr="00E14801" w14:paraId="72E876F3" w14:textId="77777777" w:rsidTr="000D30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246A5C10" w14:textId="77777777" w:rsidR="00033061" w:rsidRPr="00E14801" w:rsidRDefault="00033061" w:rsidP="0011204D">
            <w:pPr>
              <w:rPr>
                <w:rFonts w:cstheme="minorHAnsi"/>
                <w:sz w:val="24"/>
                <w:szCs w:val="24"/>
              </w:rPr>
            </w:pPr>
            <w:r w:rsidRPr="00E14801">
              <w:rPr>
                <w:rFonts w:cstheme="minorHAnsi"/>
                <w:sz w:val="24"/>
                <w:szCs w:val="24"/>
              </w:rPr>
              <w:t>Date of submission:</w:t>
            </w:r>
          </w:p>
        </w:tc>
        <w:tc>
          <w:tcPr>
            <w:tcW w:w="6895" w:type="dxa"/>
            <w:tcBorders>
              <w:top w:val="nil"/>
              <w:right w:val="nil"/>
            </w:tcBorders>
            <w:vAlign w:val="bottom"/>
          </w:tcPr>
          <w:p w14:paraId="1F5AA13D" w14:textId="71AA695D" w:rsidR="00033061" w:rsidRPr="00E14801" w:rsidRDefault="00BF5007" w:rsidP="0011204D">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045CD">
              <w:rPr>
                <w:rFonts w:cstheme="minorHAnsi"/>
                <w:sz w:val="24"/>
                <w:szCs w:val="24"/>
                <w:highlight w:val="yellow"/>
              </w:rPr>
              <w:t>XX.XX</w:t>
            </w:r>
            <w:r w:rsidRPr="00E14801">
              <w:rPr>
                <w:rFonts w:cstheme="minorHAnsi"/>
                <w:sz w:val="24"/>
                <w:szCs w:val="24"/>
              </w:rPr>
              <w:t>.2020</w:t>
            </w:r>
          </w:p>
        </w:tc>
      </w:tr>
      <w:tr w:rsidR="00033061" w:rsidRPr="00E14801" w14:paraId="63B6B7A6" w14:textId="77777777" w:rsidTr="000D3084">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5B2847A7" w14:textId="77777777" w:rsidR="00033061" w:rsidRPr="00E14801" w:rsidRDefault="00033061" w:rsidP="0011204D">
            <w:pPr>
              <w:rPr>
                <w:rFonts w:cstheme="minorHAnsi"/>
                <w:sz w:val="24"/>
                <w:szCs w:val="24"/>
              </w:rPr>
            </w:pPr>
            <w:r w:rsidRPr="00E14801">
              <w:rPr>
                <w:rFonts w:cstheme="minorHAnsi"/>
                <w:sz w:val="24"/>
                <w:szCs w:val="24"/>
              </w:rPr>
              <w:t>Work package:</w:t>
            </w:r>
          </w:p>
        </w:tc>
        <w:tc>
          <w:tcPr>
            <w:tcW w:w="6895" w:type="dxa"/>
            <w:tcBorders>
              <w:right w:val="nil"/>
            </w:tcBorders>
          </w:tcPr>
          <w:p w14:paraId="3351C9C7" w14:textId="77777777" w:rsidR="00033061" w:rsidRPr="00E14801" w:rsidRDefault="008824C4" w:rsidP="0011204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14801">
              <w:rPr>
                <w:rFonts w:cstheme="minorHAnsi"/>
                <w:sz w:val="24"/>
                <w:szCs w:val="24"/>
              </w:rPr>
              <w:t>WP</w:t>
            </w:r>
            <w:r w:rsidR="008F1182" w:rsidRPr="00E14801">
              <w:rPr>
                <w:rFonts w:cstheme="minorHAnsi"/>
                <w:sz w:val="24"/>
                <w:szCs w:val="24"/>
              </w:rPr>
              <w:t>7</w:t>
            </w:r>
          </w:p>
        </w:tc>
      </w:tr>
      <w:tr w:rsidR="00033061" w:rsidRPr="00E14801" w14:paraId="391682E8" w14:textId="77777777" w:rsidTr="000D3084">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73B04BC5" w14:textId="38AA512E" w:rsidR="00033061" w:rsidRPr="00E14801" w:rsidRDefault="00985321" w:rsidP="0011204D">
            <w:pPr>
              <w:rPr>
                <w:rFonts w:cstheme="minorHAnsi"/>
                <w:sz w:val="24"/>
                <w:szCs w:val="24"/>
              </w:rPr>
            </w:pPr>
            <w:r>
              <w:rPr>
                <w:rFonts w:cstheme="minorHAnsi"/>
                <w:sz w:val="24"/>
                <w:szCs w:val="24"/>
              </w:rPr>
              <w:t>Deliverable</w:t>
            </w:r>
            <w:r w:rsidR="00033061" w:rsidRPr="00E14801">
              <w:rPr>
                <w:rFonts w:cstheme="minorHAnsi"/>
                <w:sz w:val="24"/>
                <w:szCs w:val="24"/>
              </w:rPr>
              <w:t>:</w:t>
            </w:r>
          </w:p>
        </w:tc>
        <w:tc>
          <w:tcPr>
            <w:tcW w:w="6895" w:type="dxa"/>
            <w:tcBorders>
              <w:right w:val="nil"/>
            </w:tcBorders>
          </w:tcPr>
          <w:p w14:paraId="4D57B70E" w14:textId="78DB10F8" w:rsidR="00033061" w:rsidRPr="00E14801" w:rsidRDefault="00985321" w:rsidP="004F2D7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D7.1: </w:t>
            </w:r>
            <w:r w:rsidR="004F2D74" w:rsidRPr="004F2D74">
              <w:rPr>
                <w:rFonts w:cstheme="minorHAnsi"/>
                <w:sz w:val="24"/>
                <w:szCs w:val="24"/>
              </w:rPr>
              <w:t>Technical annex on assessing the qual</w:t>
            </w:r>
            <w:r w:rsidR="004F2D74">
              <w:rPr>
                <w:rFonts w:cstheme="minorHAnsi"/>
                <w:sz w:val="24"/>
                <w:szCs w:val="24"/>
              </w:rPr>
              <w:t>ity and safety of donor</w:t>
            </w:r>
            <w:r w:rsidR="004F2D74" w:rsidRPr="004F2D74">
              <w:rPr>
                <w:rFonts w:cstheme="minorHAnsi"/>
                <w:sz w:val="24"/>
                <w:szCs w:val="24"/>
              </w:rPr>
              <w:t xml:space="preserve"> testing, pathogen reduction and</w:t>
            </w:r>
            <w:r w:rsidR="004F2D74">
              <w:rPr>
                <w:rFonts w:cstheme="minorHAnsi"/>
                <w:sz w:val="24"/>
                <w:szCs w:val="24"/>
              </w:rPr>
              <w:t xml:space="preserve"> </w:t>
            </w:r>
            <w:r w:rsidR="004F2D74" w:rsidRPr="004F2D74">
              <w:rPr>
                <w:rFonts w:cstheme="minorHAnsi"/>
                <w:sz w:val="24"/>
                <w:szCs w:val="24"/>
              </w:rPr>
              <w:t>ste</w:t>
            </w:r>
            <w:r w:rsidR="004F2D74">
              <w:rPr>
                <w:rFonts w:cstheme="minorHAnsi"/>
                <w:sz w:val="24"/>
                <w:szCs w:val="24"/>
              </w:rPr>
              <w:t xml:space="preserve">rilisation steps as part of </w:t>
            </w:r>
            <w:r w:rsidR="004F2D74" w:rsidRPr="004F2D74">
              <w:rPr>
                <w:rFonts w:cstheme="minorHAnsi"/>
                <w:sz w:val="24"/>
                <w:szCs w:val="24"/>
              </w:rPr>
              <w:t xml:space="preserve">Preparation Process Authorisation </w:t>
            </w:r>
            <w:r w:rsidR="004F2D74">
              <w:rPr>
                <w:rFonts w:cstheme="minorHAnsi"/>
                <w:sz w:val="24"/>
                <w:szCs w:val="24"/>
              </w:rPr>
              <w:t>(PPA)</w:t>
            </w:r>
          </w:p>
        </w:tc>
      </w:tr>
      <w:tr w:rsidR="00033061" w:rsidRPr="00E14801" w14:paraId="4B4D4201" w14:textId="77777777" w:rsidTr="000D3084">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2FA8CA8F" w14:textId="77777777" w:rsidR="00033061" w:rsidRPr="00E14801" w:rsidRDefault="00033061" w:rsidP="0011204D">
            <w:pPr>
              <w:rPr>
                <w:rFonts w:cstheme="minorHAnsi"/>
                <w:sz w:val="24"/>
                <w:szCs w:val="24"/>
              </w:rPr>
            </w:pPr>
            <w:r w:rsidRPr="00E14801">
              <w:rPr>
                <w:rFonts w:cstheme="minorHAnsi"/>
                <w:sz w:val="24"/>
                <w:szCs w:val="24"/>
              </w:rPr>
              <w:t>Dissemination level:</w:t>
            </w:r>
          </w:p>
        </w:tc>
        <w:tc>
          <w:tcPr>
            <w:tcW w:w="6895" w:type="dxa"/>
            <w:tcBorders>
              <w:right w:val="nil"/>
            </w:tcBorders>
          </w:tcPr>
          <w:p w14:paraId="796FA657" w14:textId="061380F3" w:rsidR="00033061" w:rsidRPr="00E14801" w:rsidRDefault="002478B3" w:rsidP="0011204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Public</w:t>
            </w:r>
          </w:p>
        </w:tc>
      </w:tr>
    </w:tbl>
    <w:p w14:paraId="6DE9F781" w14:textId="77777777" w:rsidR="0096455F" w:rsidRPr="00E14801" w:rsidRDefault="0096455F" w:rsidP="0011204D">
      <w:pPr>
        <w:pStyle w:val="Text2"/>
        <w:rPr>
          <w:rFonts w:asciiTheme="minorHAnsi" w:hAnsiTheme="minorHAnsi" w:cstheme="minorHAnsi"/>
          <w:sz w:val="24"/>
          <w:szCs w:val="24"/>
        </w:rPr>
      </w:pPr>
    </w:p>
    <w:bookmarkStart w:id="1" w:name="_Toc532378605" w:displacedByCustomXml="next"/>
    <w:bookmarkStart w:id="2" w:name="_Toc378839024" w:displacedByCustomXml="next"/>
    <w:sdt>
      <w:sdtPr>
        <w:rPr>
          <w:rFonts w:asciiTheme="minorHAnsi" w:eastAsiaTheme="minorEastAsia" w:hAnsiTheme="minorHAnsi" w:cstheme="majorHAnsi"/>
          <w:color w:val="auto"/>
          <w:sz w:val="21"/>
          <w:szCs w:val="21"/>
          <w:lang w:val="en-GB"/>
        </w:rPr>
        <w:id w:val="-981768588"/>
        <w:docPartObj>
          <w:docPartGallery w:val="Table of Contents"/>
          <w:docPartUnique/>
        </w:docPartObj>
      </w:sdtPr>
      <w:sdtEndPr>
        <w:rPr>
          <w:b/>
          <w:bCs/>
        </w:rPr>
      </w:sdtEndPr>
      <w:sdtContent>
        <w:p w14:paraId="5287F635" w14:textId="77777777" w:rsidR="009D0AC7" w:rsidRPr="00917846" w:rsidRDefault="009D0AC7" w:rsidP="009D0AC7">
          <w:pPr>
            <w:pStyle w:val="TOCHeading"/>
            <w:spacing w:before="0" w:after="0" w:line="276" w:lineRule="auto"/>
            <w:rPr>
              <w:rFonts w:cstheme="majorHAnsi"/>
              <w:lang w:val="en-GB"/>
            </w:rPr>
          </w:pPr>
          <w:r w:rsidRPr="00917846">
            <w:rPr>
              <w:rFonts w:cstheme="majorHAnsi"/>
              <w:lang w:val="en-GB"/>
            </w:rPr>
            <w:t>Contents</w:t>
          </w:r>
        </w:p>
        <w:p w14:paraId="33B89592" w14:textId="6E70F364" w:rsidR="00DF3CAF" w:rsidRDefault="009D0AC7">
          <w:pPr>
            <w:pStyle w:val="TOC1"/>
            <w:tabs>
              <w:tab w:val="right" w:pos="9350"/>
            </w:tabs>
            <w:rPr>
              <w:noProof/>
              <w:sz w:val="22"/>
              <w:szCs w:val="22"/>
              <w:lang w:val="fi-FI" w:eastAsia="fi-FI"/>
            </w:rPr>
          </w:pPr>
          <w:r w:rsidRPr="00917846">
            <w:rPr>
              <w:rFonts w:asciiTheme="majorHAnsi" w:hAnsiTheme="majorHAnsi" w:cstheme="majorHAnsi"/>
              <w:lang w:val="en-GB"/>
            </w:rPr>
            <w:fldChar w:fldCharType="begin"/>
          </w:r>
          <w:r w:rsidRPr="00917846">
            <w:rPr>
              <w:rFonts w:asciiTheme="majorHAnsi" w:hAnsiTheme="majorHAnsi" w:cstheme="majorHAnsi"/>
              <w:lang w:val="en-GB"/>
            </w:rPr>
            <w:instrText xml:space="preserve"> TOC \o "1-3" \h \z \u </w:instrText>
          </w:r>
          <w:r w:rsidRPr="00917846">
            <w:rPr>
              <w:rFonts w:asciiTheme="majorHAnsi" w:hAnsiTheme="majorHAnsi" w:cstheme="majorHAnsi"/>
              <w:lang w:val="en-GB"/>
            </w:rPr>
            <w:fldChar w:fldCharType="separate"/>
          </w:r>
          <w:hyperlink w:anchor="_Toc41427142" w:history="1">
            <w:r w:rsidR="00DF3CAF" w:rsidRPr="00D73A71">
              <w:rPr>
                <w:rStyle w:val="Hyperlink"/>
                <w:noProof/>
              </w:rPr>
              <w:t>Introduction</w:t>
            </w:r>
            <w:r w:rsidR="00DF3CAF">
              <w:rPr>
                <w:noProof/>
                <w:webHidden/>
              </w:rPr>
              <w:tab/>
            </w:r>
            <w:r w:rsidR="00DF3CAF">
              <w:rPr>
                <w:noProof/>
                <w:webHidden/>
              </w:rPr>
              <w:fldChar w:fldCharType="begin"/>
            </w:r>
            <w:r w:rsidR="00DF3CAF">
              <w:rPr>
                <w:noProof/>
                <w:webHidden/>
              </w:rPr>
              <w:instrText xml:space="preserve"> PAGEREF _Toc41427142 \h </w:instrText>
            </w:r>
            <w:r w:rsidR="00DF3CAF">
              <w:rPr>
                <w:noProof/>
                <w:webHidden/>
              </w:rPr>
            </w:r>
            <w:r w:rsidR="00DF3CAF">
              <w:rPr>
                <w:noProof/>
                <w:webHidden/>
              </w:rPr>
              <w:fldChar w:fldCharType="separate"/>
            </w:r>
            <w:r w:rsidR="00DF3CAF">
              <w:rPr>
                <w:noProof/>
                <w:webHidden/>
              </w:rPr>
              <w:t>3</w:t>
            </w:r>
            <w:r w:rsidR="00DF3CAF">
              <w:rPr>
                <w:noProof/>
                <w:webHidden/>
              </w:rPr>
              <w:fldChar w:fldCharType="end"/>
            </w:r>
          </w:hyperlink>
        </w:p>
        <w:p w14:paraId="4B4ED403" w14:textId="1ADFC7D9" w:rsidR="00DF3CAF" w:rsidRDefault="005676C9">
          <w:pPr>
            <w:pStyle w:val="TOC1"/>
            <w:tabs>
              <w:tab w:val="right" w:pos="9350"/>
            </w:tabs>
            <w:rPr>
              <w:noProof/>
              <w:sz w:val="22"/>
              <w:szCs w:val="22"/>
              <w:lang w:val="fi-FI" w:eastAsia="fi-FI"/>
            </w:rPr>
          </w:pPr>
          <w:hyperlink w:anchor="_Toc41427143" w:history="1">
            <w:r w:rsidR="00DF3CAF" w:rsidRPr="00D73A71">
              <w:rPr>
                <w:rStyle w:val="Hyperlink"/>
                <w:noProof/>
              </w:rPr>
              <w:t>Aims</w:t>
            </w:r>
            <w:r w:rsidR="00DF3CAF">
              <w:rPr>
                <w:noProof/>
                <w:webHidden/>
              </w:rPr>
              <w:tab/>
            </w:r>
            <w:r w:rsidR="00DF3CAF">
              <w:rPr>
                <w:noProof/>
                <w:webHidden/>
              </w:rPr>
              <w:fldChar w:fldCharType="begin"/>
            </w:r>
            <w:r w:rsidR="00DF3CAF">
              <w:rPr>
                <w:noProof/>
                <w:webHidden/>
              </w:rPr>
              <w:instrText xml:space="preserve"> PAGEREF _Toc41427143 \h </w:instrText>
            </w:r>
            <w:r w:rsidR="00DF3CAF">
              <w:rPr>
                <w:noProof/>
                <w:webHidden/>
              </w:rPr>
            </w:r>
            <w:r w:rsidR="00DF3CAF">
              <w:rPr>
                <w:noProof/>
                <w:webHidden/>
              </w:rPr>
              <w:fldChar w:fldCharType="separate"/>
            </w:r>
            <w:r w:rsidR="00DF3CAF">
              <w:rPr>
                <w:noProof/>
                <w:webHidden/>
              </w:rPr>
              <w:t>3</w:t>
            </w:r>
            <w:r w:rsidR="00DF3CAF">
              <w:rPr>
                <w:noProof/>
                <w:webHidden/>
              </w:rPr>
              <w:fldChar w:fldCharType="end"/>
            </w:r>
          </w:hyperlink>
        </w:p>
        <w:p w14:paraId="2A2845FE" w14:textId="72B75482" w:rsidR="00DF3CAF" w:rsidRDefault="005676C9">
          <w:pPr>
            <w:pStyle w:val="TOC1"/>
            <w:tabs>
              <w:tab w:val="right" w:pos="9350"/>
            </w:tabs>
            <w:rPr>
              <w:noProof/>
              <w:sz w:val="22"/>
              <w:szCs w:val="22"/>
              <w:lang w:val="fi-FI" w:eastAsia="fi-FI"/>
            </w:rPr>
          </w:pPr>
          <w:hyperlink w:anchor="_Toc41427144" w:history="1">
            <w:r w:rsidR="00DF3CAF" w:rsidRPr="00D73A71">
              <w:rPr>
                <w:rStyle w:val="Hyperlink"/>
                <w:noProof/>
              </w:rPr>
              <w:t>Scope</w:t>
            </w:r>
            <w:r w:rsidR="00DF3CAF">
              <w:rPr>
                <w:noProof/>
                <w:webHidden/>
              </w:rPr>
              <w:tab/>
            </w:r>
            <w:r w:rsidR="00DF3CAF">
              <w:rPr>
                <w:noProof/>
                <w:webHidden/>
              </w:rPr>
              <w:fldChar w:fldCharType="begin"/>
            </w:r>
            <w:r w:rsidR="00DF3CAF">
              <w:rPr>
                <w:noProof/>
                <w:webHidden/>
              </w:rPr>
              <w:instrText xml:space="preserve"> PAGEREF _Toc41427144 \h </w:instrText>
            </w:r>
            <w:r w:rsidR="00DF3CAF">
              <w:rPr>
                <w:noProof/>
                <w:webHidden/>
              </w:rPr>
            </w:r>
            <w:r w:rsidR="00DF3CAF">
              <w:rPr>
                <w:noProof/>
                <w:webHidden/>
              </w:rPr>
              <w:fldChar w:fldCharType="separate"/>
            </w:r>
            <w:r w:rsidR="00DF3CAF">
              <w:rPr>
                <w:noProof/>
                <w:webHidden/>
              </w:rPr>
              <w:t>4</w:t>
            </w:r>
            <w:r w:rsidR="00DF3CAF">
              <w:rPr>
                <w:noProof/>
                <w:webHidden/>
              </w:rPr>
              <w:fldChar w:fldCharType="end"/>
            </w:r>
          </w:hyperlink>
        </w:p>
        <w:p w14:paraId="6611DF03" w14:textId="291FF095" w:rsidR="00DF3CAF" w:rsidRDefault="005676C9">
          <w:pPr>
            <w:pStyle w:val="TOC1"/>
            <w:tabs>
              <w:tab w:val="left" w:pos="420"/>
              <w:tab w:val="right" w:pos="9350"/>
            </w:tabs>
            <w:rPr>
              <w:noProof/>
              <w:sz w:val="22"/>
              <w:szCs w:val="22"/>
              <w:lang w:val="fi-FI" w:eastAsia="fi-FI"/>
            </w:rPr>
          </w:pPr>
          <w:hyperlink w:anchor="_Toc41427145" w:history="1">
            <w:r w:rsidR="00DF3CAF" w:rsidRPr="00D73A71">
              <w:rPr>
                <w:rStyle w:val="Hyperlink"/>
                <w:noProof/>
              </w:rPr>
              <w:t>1.</w:t>
            </w:r>
            <w:r w:rsidR="00DF3CAF">
              <w:rPr>
                <w:noProof/>
                <w:sz w:val="22"/>
                <w:szCs w:val="22"/>
                <w:lang w:val="fi-FI" w:eastAsia="fi-FI"/>
              </w:rPr>
              <w:tab/>
            </w:r>
            <w:r w:rsidR="00DF3CAF" w:rsidRPr="00D73A71">
              <w:rPr>
                <w:rStyle w:val="Hyperlink"/>
                <w:noProof/>
              </w:rPr>
              <w:t>General validation requirements</w:t>
            </w:r>
            <w:r w:rsidR="00DF3CAF">
              <w:rPr>
                <w:noProof/>
                <w:webHidden/>
              </w:rPr>
              <w:tab/>
            </w:r>
            <w:r w:rsidR="00DF3CAF">
              <w:rPr>
                <w:noProof/>
                <w:webHidden/>
              </w:rPr>
              <w:fldChar w:fldCharType="begin"/>
            </w:r>
            <w:r w:rsidR="00DF3CAF">
              <w:rPr>
                <w:noProof/>
                <w:webHidden/>
              </w:rPr>
              <w:instrText xml:space="preserve"> PAGEREF _Toc41427145 \h </w:instrText>
            </w:r>
            <w:r w:rsidR="00DF3CAF">
              <w:rPr>
                <w:noProof/>
                <w:webHidden/>
              </w:rPr>
            </w:r>
            <w:r w:rsidR="00DF3CAF">
              <w:rPr>
                <w:noProof/>
                <w:webHidden/>
              </w:rPr>
              <w:fldChar w:fldCharType="separate"/>
            </w:r>
            <w:r w:rsidR="00DF3CAF">
              <w:rPr>
                <w:noProof/>
                <w:webHidden/>
              </w:rPr>
              <w:t>5</w:t>
            </w:r>
            <w:r w:rsidR="00DF3CAF">
              <w:rPr>
                <w:noProof/>
                <w:webHidden/>
              </w:rPr>
              <w:fldChar w:fldCharType="end"/>
            </w:r>
          </w:hyperlink>
        </w:p>
        <w:p w14:paraId="56A569B4" w14:textId="68923621" w:rsidR="00DF3CAF" w:rsidRDefault="005676C9">
          <w:pPr>
            <w:pStyle w:val="TOC1"/>
            <w:tabs>
              <w:tab w:val="left" w:pos="420"/>
              <w:tab w:val="right" w:pos="9350"/>
            </w:tabs>
            <w:rPr>
              <w:noProof/>
              <w:sz w:val="22"/>
              <w:szCs w:val="22"/>
              <w:lang w:val="fi-FI" w:eastAsia="fi-FI"/>
            </w:rPr>
          </w:pPr>
          <w:hyperlink w:anchor="_Toc41427146" w:history="1">
            <w:r w:rsidR="00DF3CAF" w:rsidRPr="00D73A71">
              <w:rPr>
                <w:rStyle w:val="Hyperlink"/>
                <w:noProof/>
              </w:rPr>
              <w:t>2.</w:t>
            </w:r>
            <w:r w:rsidR="00DF3CAF">
              <w:rPr>
                <w:noProof/>
                <w:sz w:val="22"/>
                <w:szCs w:val="22"/>
                <w:lang w:val="fi-FI" w:eastAsia="fi-FI"/>
              </w:rPr>
              <w:tab/>
            </w:r>
            <w:r w:rsidR="00DF3CAF" w:rsidRPr="00D73A71">
              <w:rPr>
                <w:rStyle w:val="Hyperlink"/>
                <w:noProof/>
              </w:rPr>
              <w:t>Requirements and criteria for laboratories performing donor infectious disease testing and microbiological testing of BTC</w:t>
            </w:r>
            <w:r w:rsidR="00DF3CAF">
              <w:rPr>
                <w:noProof/>
                <w:webHidden/>
              </w:rPr>
              <w:tab/>
            </w:r>
            <w:r w:rsidR="00DF3CAF">
              <w:rPr>
                <w:noProof/>
                <w:webHidden/>
              </w:rPr>
              <w:fldChar w:fldCharType="begin"/>
            </w:r>
            <w:r w:rsidR="00DF3CAF">
              <w:rPr>
                <w:noProof/>
                <w:webHidden/>
              </w:rPr>
              <w:instrText xml:space="preserve"> PAGEREF _Toc41427146 \h </w:instrText>
            </w:r>
            <w:r w:rsidR="00DF3CAF">
              <w:rPr>
                <w:noProof/>
                <w:webHidden/>
              </w:rPr>
            </w:r>
            <w:r w:rsidR="00DF3CAF">
              <w:rPr>
                <w:noProof/>
                <w:webHidden/>
              </w:rPr>
              <w:fldChar w:fldCharType="separate"/>
            </w:r>
            <w:r w:rsidR="00DF3CAF">
              <w:rPr>
                <w:noProof/>
                <w:webHidden/>
              </w:rPr>
              <w:t>6</w:t>
            </w:r>
            <w:r w:rsidR="00DF3CAF">
              <w:rPr>
                <w:noProof/>
                <w:webHidden/>
              </w:rPr>
              <w:fldChar w:fldCharType="end"/>
            </w:r>
          </w:hyperlink>
        </w:p>
        <w:p w14:paraId="22D502A6" w14:textId="4D1E15BD" w:rsidR="00DF3CAF" w:rsidRDefault="005676C9">
          <w:pPr>
            <w:pStyle w:val="TOC2"/>
            <w:tabs>
              <w:tab w:val="left" w:pos="880"/>
              <w:tab w:val="right" w:pos="9350"/>
            </w:tabs>
            <w:rPr>
              <w:noProof/>
              <w:sz w:val="22"/>
              <w:szCs w:val="22"/>
              <w:lang w:val="fi-FI" w:eastAsia="fi-FI"/>
            </w:rPr>
          </w:pPr>
          <w:hyperlink w:anchor="_Toc41427147" w:history="1">
            <w:r w:rsidR="00DF3CAF" w:rsidRPr="00D73A71">
              <w:rPr>
                <w:rStyle w:val="Hyperlink"/>
                <w:noProof/>
              </w:rPr>
              <w:t>2.1.</w:t>
            </w:r>
            <w:r w:rsidR="00DF3CAF">
              <w:rPr>
                <w:noProof/>
                <w:sz w:val="22"/>
                <w:szCs w:val="22"/>
                <w:lang w:val="fi-FI" w:eastAsia="fi-FI"/>
              </w:rPr>
              <w:tab/>
            </w:r>
            <w:r w:rsidR="00DF3CAF" w:rsidRPr="00D73A71">
              <w:rPr>
                <w:rStyle w:val="Hyperlink"/>
                <w:noProof/>
              </w:rPr>
              <w:t>Testing and screening of donors</w:t>
            </w:r>
            <w:r w:rsidR="00DF3CAF">
              <w:rPr>
                <w:noProof/>
                <w:webHidden/>
              </w:rPr>
              <w:tab/>
            </w:r>
            <w:r w:rsidR="00DF3CAF">
              <w:rPr>
                <w:noProof/>
                <w:webHidden/>
              </w:rPr>
              <w:fldChar w:fldCharType="begin"/>
            </w:r>
            <w:r w:rsidR="00DF3CAF">
              <w:rPr>
                <w:noProof/>
                <w:webHidden/>
              </w:rPr>
              <w:instrText xml:space="preserve"> PAGEREF _Toc41427147 \h </w:instrText>
            </w:r>
            <w:r w:rsidR="00DF3CAF">
              <w:rPr>
                <w:noProof/>
                <w:webHidden/>
              </w:rPr>
            </w:r>
            <w:r w:rsidR="00DF3CAF">
              <w:rPr>
                <w:noProof/>
                <w:webHidden/>
              </w:rPr>
              <w:fldChar w:fldCharType="separate"/>
            </w:r>
            <w:r w:rsidR="00DF3CAF">
              <w:rPr>
                <w:noProof/>
                <w:webHidden/>
              </w:rPr>
              <w:t>6</w:t>
            </w:r>
            <w:r w:rsidR="00DF3CAF">
              <w:rPr>
                <w:noProof/>
                <w:webHidden/>
              </w:rPr>
              <w:fldChar w:fldCharType="end"/>
            </w:r>
          </w:hyperlink>
        </w:p>
        <w:p w14:paraId="60D34F21" w14:textId="2B737F09" w:rsidR="00DF3CAF" w:rsidRDefault="005676C9">
          <w:pPr>
            <w:pStyle w:val="TOC2"/>
            <w:tabs>
              <w:tab w:val="left" w:pos="880"/>
              <w:tab w:val="right" w:pos="9350"/>
            </w:tabs>
            <w:rPr>
              <w:noProof/>
              <w:sz w:val="22"/>
              <w:szCs w:val="22"/>
              <w:lang w:val="fi-FI" w:eastAsia="fi-FI"/>
            </w:rPr>
          </w:pPr>
          <w:hyperlink w:anchor="_Toc41427148" w:history="1">
            <w:r w:rsidR="00DF3CAF" w:rsidRPr="00D73A71">
              <w:rPr>
                <w:rStyle w:val="Hyperlink"/>
                <w:noProof/>
              </w:rPr>
              <w:t>2.2.</w:t>
            </w:r>
            <w:r w:rsidR="00DF3CAF">
              <w:rPr>
                <w:noProof/>
                <w:sz w:val="22"/>
                <w:szCs w:val="22"/>
                <w:lang w:val="fi-FI" w:eastAsia="fi-FI"/>
              </w:rPr>
              <w:tab/>
            </w:r>
            <w:r w:rsidR="00DF3CAF" w:rsidRPr="00D73A71">
              <w:rPr>
                <w:rStyle w:val="Hyperlink"/>
                <w:noProof/>
              </w:rPr>
              <w:t>Quality system</w:t>
            </w:r>
            <w:r w:rsidR="00DF3CAF">
              <w:rPr>
                <w:noProof/>
                <w:webHidden/>
              </w:rPr>
              <w:tab/>
            </w:r>
            <w:r w:rsidR="00DF3CAF">
              <w:rPr>
                <w:noProof/>
                <w:webHidden/>
              </w:rPr>
              <w:fldChar w:fldCharType="begin"/>
            </w:r>
            <w:r w:rsidR="00DF3CAF">
              <w:rPr>
                <w:noProof/>
                <w:webHidden/>
              </w:rPr>
              <w:instrText xml:space="preserve"> PAGEREF _Toc41427148 \h </w:instrText>
            </w:r>
            <w:r w:rsidR="00DF3CAF">
              <w:rPr>
                <w:noProof/>
                <w:webHidden/>
              </w:rPr>
            </w:r>
            <w:r w:rsidR="00DF3CAF">
              <w:rPr>
                <w:noProof/>
                <w:webHidden/>
              </w:rPr>
              <w:fldChar w:fldCharType="separate"/>
            </w:r>
            <w:r w:rsidR="00DF3CAF">
              <w:rPr>
                <w:noProof/>
                <w:webHidden/>
              </w:rPr>
              <w:t>7</w:t>
            </w:r>
            <w:r w:rsidR="00DF3CAF">
              <w:rPr>
                <w:noProof/>
                <w:webHidden/>
              </w:rPr>
              <w:fldChar w:fldCharType="end"/>
            </w:r>
          </w:hyperlink>
        </w:p>
        <w:p w14:paraId="258F8101" w14:textId="55D8DE92" w:rsidR="00DF3CAF" w:rsidRDefault="005676C9">
          <w:pPr>
            <w:pStyle w:val="TOC2"/>
            <w:tabs>
              <w:tab w:val="left" w:pos="880"/>
              <w:tab w:val="right" w:pos="9350"/>
            </w:tabs>
            <w:rPr>
              <w:noProof/>
              <w:sz w:val="22"/>
              <w:szCs w:val="22"/>
              <w:lang w:val="fi-FI" w:eastAsia="fi-FI"/>
            </w:rPr>
          </w:pPr>
          <w:hyperlink w:anchor="_Toc41427149" w:history="1">
            <w:r w:rsidR="00DF3CAF" w:rsidRPr="00D73A71">
              <w:rPr>
                <w:rStyle w:val="Hyperlink"/>
                <w:noProof/>
              </w:rPr>
              <w:t>2.3.</w:t>
            </w:r>
            <w:r w:rsidR="00DF3CAF">
              <w:rPr>
                <w:noProof/>
                <w:sz w:val="22"/>
                <w:szCs w:val="22"/>
                <w:lang w:val="fi-FI" w:eastAsia="fi-FI"/>
              </w:rPr>
              <w:tab/>
            </w:r>
            <w:r w:rsidR="00DF3CAF" w:rsidRPr="00D73A71">
              <w:rPr>
                <w:rStyle w:val="Hyperlink"/>
                <w:noProof/>
              </w:rPr>
              <w:t>Standard</w:t>
            </w:r>
            <w:r w:rsidR="00DF3CAF">
              <w:rPr>
                <w:noProof/>
                <w:webHidden/>
              </w:rPr>
              <w:tab/>
            </w:r>
            <w:r w:rsidR="00DF3CAF">
              <w:rPr>
                <w:noProof/>
                <w:webHidden/>
              </w:rPr>
              <w:fldChar w:fldCharType="begin"/>
            </w:r>
            <w:r w:rsidR="00DF3CAF">
              <w:rPr>
                <w:noProof/>
                <w:webHidden/>
              </w:rPr>
              <w:instrText xml:space="preserve"> PAGEREF _Toc41427149 \h </w:instrText>
            </w:r>
            <w:r w:rsidR="00DF3CAF">
              <w:rPr>
                <w:noProof/>
                <w:webHidden/>
              </w:rPr>
            </w:r>
            <w:r w:rsidR="00DF3CAF">
              <w:rPr>
                <w:noProof/>
                <w:webHidden/>
              </w:rPr>
              <w:fldChar w:fldCharType="separate"/>
            </w:r>
            <w:r w:rsidR="00DF3CAF">
              <w:rPr>
                <w:noProof/>
                <w:webHidden/>
              </w:rPr>
              <w:t>7</w:t>
            </w:r>
            <w:r w:rsidR="00DF3CAF">
              <w:rPr>
                <w:noProof/>
                <w:webHidden/>
              </w:rPr>
              <w:fldChar w:fldCharType="end"/>
            </w:r>
          </w:hyperlink>
        </w:p>
        <w:p w14:paraId="0D54B8F1" w14:textId="085663D9" w:rsidR="00DF3CAF" w:rsidRDefault="005676C9">
          <w:pPr>
            <w:pStyle w:val="TOC2"/>
            <w:tabs>
              <w:tab w:val="left" w:pos="880"/>
              <w:tab w:val="right" w:pos="9350"/>
            </w:tabs>
            <w:rPr>
              <w:noProof/>
              <w:sz w:val="22"/>
              <w:szCs w:val="22"/>
              <w:lang w:val="fi-FI" w:eastAsia="fi-FI"/>
            </w:rPr>
          </w:pPr>
          <w:hyperlink w:anchor="_Toc41427150" w:history="1">
            <w:r w:rsidR="00DF3CAF" w:rsidRPr="00D73A71">
              <w:rPr>
                <w:rStyle w:val="Hyperlink"/>
                <w:noProof/>
                <w:lang w:val="en-GB"/>
              </w:rPr>
              <w:t>2.4.</w:t>
            </w:r>
            <w:r w:rsidR="00DF3CAF">
              <w:rPr>
                <w:noProof/>
                <w:sz w:val="22"/>
                <w:szCs w:val="22"/>
                <w:lang w:val="fi-FI" w:eastAsia="fi-FI"/>
              </w:rPr>
              <w:tab/>
            </w:r>
            <w:r w:rsidR="00DF3CAF" w:rsidRPr="00D73A71">
              <w:rPr>
                <w:rStyle w:val="Hyperlink"/>
                <w:noProof/>
                <w:lang w:val="en-GB"/>
              </w:rPr>
              <w:t>Accreditation, designation, authorisation or licensing of laboratory by competent authorities</w:t>
            </w:r>
            <w:r w:rsidR="00DF3CAF">
              <w:rPr>
                <w:noProof/>
                <w:webHidden/>
              </w:rPr>
              <w:tab/>
            </w:r>
            <w:r w:rsidR="00DF3CAF">
              <w:rPr>
                <w:noProof/>
                <w:webHidden/>
              </w:rPr>
              <w:fldChar w:fldCharType="begin"/>
            </w:r>
            <w:r w:rsidR="00DF3CAF">
              <w:rPr>
                <w:noProof/>
                <w:webHidden/>
              </w:rPr>
              <w:instrText xml:space="preserve"> PAGEREF _Toc41427150 \h </w:instrText>
            </w:r>
            <w:r w:rsidR="00DF3CAF">
              <w:rPr>
                <w:noProof/>
                <w:webHidden/>
              </w:rPr>
            </w:r>
            <w:r w:rsidR="00DF3CAF">
              <w:rPr>
                <w:noProof/>
                <w:webHidden/>
              </w:rPr>
              <w:fldChar w:fldCharType="separate"/>
            </w:r>
            <w:r w:rsidR="00DF3CAF">
              <w:rPr>
                <w:noProof/>
                <w:webHidden/>
              </w:rPr>
              <w:t>8</w:t>
            </w:r>
            <w:r w:rsidR="00DF3CAF">
              <w:rPr>
                <w:noProof/>
                <w:webHidden/>
              </w:rPr>
              <w:fldChar w:fldCharType="end"/>
            </w:r>
          </w:hyperlink>
        </w:p>
        <w:p w14:paraId="0647A429" w14:textId="3CE45230" w:rsidR="00DF3CAF" w:rsidRDefault="005676C9">
          <w:pPr>
            <w:pStyle w:val="TOC2"/>
            <w:tabs>
              <w:tab w:val="left" w:pos="880"/>
              <w:tab w:val="right" w:pos="9350"/>
            </w:tabs>
            <w:rPr>
              <w:noProof/>
              <w:sz w:val="22"/>
              <w:szCs w:val="22"/>
              <w:lang w:val="fi-FI" w:eastAsia="fi-FI"/>
            </w:rPr>
          </w:pPr>
          <w:hyperlink w:anchor="_Toc41427151" w:history="1">
            <w:r w:rsidR="00DF3CAF" w:rsidRPr="00D73A71">
              <w:rPr>
                <w:rStyle w:val="Hyperlink"/>
                <w:noProof/>
                <w:lang w:val="en-GB"/>
              </w:rPr>
              <w:t>2.5.</w:t>
            </w:r>
            <w:r w:rsidR="00DF3CAF">
              <w:rPr>
                <w:noProof/>
                <w:sz w:val="22"/>
                <w:szCs w:val="22"/>
                <w:lang w:val="fi-FI" w:eastAsia="fi-FI"/>
              </w:rPr>
              <w:tab/>
            </w:r>
            <w:r w:rsidR="00DF3CAF" w:rsidRPr="00D73A71">
              <w:rPr>
                <w:rStyle w:val="Hyperlink"/>
                <w:noProof/>
              </w:rPr>
              <w:t>Information on testing laboratorie</w:t>
            </w:r>
            <w:r w:rsidR="00DF3CAF" w:rsidRPr="00D73A71">
              <w:rPr>
                <w:rStyle w:val="Hyperlink"/>
                <w:noProof/>
                <w:lang w:val="en-GB"/>
              </w:rPr>
              <w:t>s</w:t>
            </w:r>
            <w:r w:rsidR="00DF3CAF">
              <w:rPr>
                <w:noProof/>
                <w:webHidden/>
              </w:rPr>
              <w:tab/>
            </w:r>
            <w:r w:rsidR="00DF3CAF">
              <w:rPr>
                <w:noProof/>
                <w:webHidden/>
              </w:rPr>
              <w:fldChar w:fldCharType="begin"/>
            </w:r>
            <w:r w:rsidR="00DF3CAF">
              <w:rPr>
                <w:noProof/>
                <w:webHidden/>
              </w:rPr>
              <w:instrText xml:space="preserve"> PAGEREF _Toc41427151 \h </w:instrText>
            </w:r>
            <w:r w:rsidR="00DF3CAF">
              <w:rPr>
                <w:noProof/>
                <w:webHidden/>
              </w:rPr>
            </w:r>
            <w:r w:rsidR="00DF3CAF">
              <w:rPr>
                <w:noProof/>
                <w:webHidden/>
              </w:rPr>
              <w:fldChar w:fldCharType="separate"/>
            </w:r>
            <w:r w:rsidR="00DF3CAF">
              <w:rPr>
                <w:noProof/>
                <w:webHidden/>
              </w:rPr>
              <w:t>8</w:t>
            </w:r>
            <w:r w:rsidR="00DF3CAF">
              <w:rPr>
                <w:noProof/>
                <w:webHidden/>
              </w:rPr>
              <w:fldChar w:fldCharType="end"/>
            </w:r>
          </w:hyperlink>
        </w:p>
        <w:p w14:paraId="05716BA0" w14:textId="38708089" w:rsidR="00DF3CAF" w:rsidRDefault="005676C9">
          <w:pPr>
            <w:pStyle w:val="TOC1"/>
            <w:tabs>
              <w:tab w:val="left" w:pos="420"/>
              <w:tab w:val="right" w:pos="9350"/>
            </w:tabs>
            <w:rPr>
              <w:noProof/>
              <w:sz w:val="22"/>
              <w:szCs w:val="22"/>
              <w:lang w:val="fi-FI" w:eastAsia="fi-FI"/>
            </w:rPr>
          </w:pPr>
          <w:hyperlink w:anchor="_Toc41427152" w:history="1">
            <w:r w:rsidR="00DF3CAF" w:rsidRPr="00D73A71">
              <w:rPr>
                <w:rStyle w:val="Hyperlink"/>
                <w:noProof/>
              </w:rPr>
              <w:t>3.</w:t>
            </w:r>
            <w:r w:rsidR="00DF3CAF">
              <w:rPr>
                <w:noProof/>
                <w:sz w:val="22"/>
                <w:szCs w:val="22"/>
                <w:lang w:val="fi-FI" w:eastAsia="fi-FI"/>
              </w:rPr>
              <w:tab/>
            </w:r>
            <w:r w:rsidR="00DF3CAF" w:rsidRPr="00D73A71">
              <w:rPr>
                <w:rStyle w:val="Hyperlink"/>
                <w:noProof/>
              </w:rPr>
              <w:t>Requirements for selection, validation and performance of donor infectious disease marker testing kits and other methods</w:t>
            </w:r>
            <w:r w:rsidR="00DF3CAF">
              <w:rPr>
                <w:noProof/>
                <w:webHidden/>
              </w:rPr>
              <w:tab/>
            </w:r>
            <w:r w:rsidR="00DF3CAF">
              <w:rPr>
                <w:noProof/>
                <w:webHidden/>
              </w:rPr>
              <w:fldChar w:fldCharType="begin"/>
            </w:r>
            <w:r w:rsidR="00DF3CAF">
              <w:rPr>
                <w:noProof/>
                <w:webHidden/>
              </w:rPr>
              <w:instrText xml:space="preserve"> PAGEREF _Toc41427152 \h </w:instrText>
            </w:r>
            <w:r w:rsidR="00DF3CAF">
              <w:rPr>
                <w:noProof/>
                <w:webHidden/>
              </w:rPr>
            </w:r>
            <w:r w:rsidR="00DF3CAF">
              <w:rPr>
                <w:noProof/>
                <w:webHidden/>
              </w:rPr>
              <w:fldChar w:fldCharType="separate"/>
            </w:r>
            <w:r w:rsidR="00DF3CAF">
              <w:rPr>
                <w:noProof/>
                <w:webHidden/>
              </w:rPr>
              <w:t>10</w:t>
            </w:r>
            <w:r w:rsidR="00DF3CAF">
              <w:rPr>
                <w:noProof/>
                <w:webHidden/>
              </w:rPr>
              <w:fldChar w:fldCharType="end"/>
            </w:r>
          </w:hyperlink>
        </w:p>
        <w:p w14:paraId="6B3A8B79" w14:textId="40708F97" w:rsidR="00DF3CAF" w:rsidRDefault="005676C9">
          <w:pPr>
            <w:pStyle w:val="TOC2"/>
            <w:tabs>
              <w:tab w:val="left" w:pos="880"/>
              <w:tab w:val="right" w:pos="9350"/>
            </w:tabs>
            <w:rPr>
              <w:noProof/>
              <w:sz w:val="22"/>
              <w:szCs w:val="22"/>
              <w:lang w:val="fi-FI" w:eastAsia="fi-FI"/>
            </w:rPr>
          </w:pPr>
          <w:hyperlink w:anchor="_Toc41427153" w:history="1">
            <w:r w:rsidR="00DF3CAF" w:rsidRPr="00D73A71">
              <w:rPr>
                <w:rStyle w:val="Hyperlink"/>
                <w:noProof/>
              </w:rPr>
              <w:t>3.1.</w:t>
            </w:r>
            <w:r w:rsidR="00DF3CAF">
              <w:rPr>
                <w:noProof/>
                <w:sz w:val="22"/>
                <w:szCs w:val="22"/>
                <w:lang w:val="fi-FI" w:eastAsia="fi-FI"/>
              </w:rPr>
              <w:tab/>
            </w:r>
            <w:r w:rsidR="00DF3CAF" w:rsidRPr="00D73A71">
              <w:rPr>
                <w:rStyle w:val="Hyperlink"/>
                <w:noProof/>
              </w:rPr>
              <w:t>Selection of donor infectious marker testing kits and other methods</w:t>
            </w:r>
            <w:r w:rsidR="00DF3CAF">
              <w:rPr>
                <w:noProof/>
                <w:webHidden/>
              </w:rPr>
              <w:tab/>
            </w:r>
            <w:r w:rsidR="00DF3CAF">
              <w:rPr>
                <w:noProof/>
                <w:webHidden/>
              </w:rPr>
              <w:fldChar w:fldCharType="begin"/>
            </w:r>
            <w:r w:rsidR="00DF3CAF">
              <w:rPr>
                <w:noProof/>
                <w:webHidden/>
              </w:rPr>
              <w:instrText xml:space="preserve"> PAGEREF _Toc41427153 \h </w:instrText>
            </w:r>
            <w:r w:rsidR="00DF3CAF">
              <w:rPr>
                <w:noProof/>
                <w:webHidden/>
              </w:rPr>
            </w:r>
            <w:r w:rsidR="00DF3CAF">
              <w:rPr>
                <w:noProof/>
                <w:webHidden/>
              </w:rPr>
              <w:fldChar w:fldCharType="separate"/>
            </w:r>
            <w:r w:rsidR="00DF3CAF">
              <w:rPr>
                <w:noProof/>
                <w:webHidden/>
              </w:rPr>
              <w:t>11</w:t>
            </w:r>
            <w:r w:rsidR="00DF3CAF">
              <w:rPr>
                <w:noProof/>
                <w:webHidden/>
              </w:rPr>
              <w:fldChar w:fldCharType="end"/>
            </w:r>
          </w:hyperlink>
        </w:p>
        <w:p w14:paraId="4005A38F" w14:textId="3A0ABC14" w:rsidR="00DF3CAF" w:rsidRDefault="005676C9">
          <w:pPr>
            <w:pStyle w:val="TOC2"/>
            <w:tabs>
              <w:tab w:val="left" w:pos="880"/>
              <w:tab w:val="right" w:pos="9350"/>
            </w:tabs>
            <w:rPr>
              <w:noProof/>
              <w:sz w:val="22"/>
              <w:szCs w:val="22"/>
              <w:lang w:val="fi-FI" w:eastAsia="fi-FI"/>
            </w:rPr>
          </w:pPr>
          <w:hyperlink w:anchor="_Toc41427154" w:history="1">
            <w:r w:rsidR="00DF3CAF" w:rsidRPr="00D73A71">
              <w:rPr>
                <w:rStyle w:val="Hyperlink"/>
                <w:noProof/>
              </w:rPr>
              <w:t>3.2.</w:t>
            </w:r>
            <w:r w:rsidR="00DF3CAF">
              <w:rPr>
                <w:noProof/>
                <w:sz w:val="22"/>
                <w:szCs w:val="22"/>
                <w:lang w:val="fi-FI" w:eastAsia="fi-FI"/>
              </w:rPr>
              <w:tab/>
            </w:r>
            <w:r w:rsidR="00DF3CAF" w:rsidRPr="00D73A71">
              <w:rPr>
                <w:rStyle w:val="Hyperlink"/>
                <w:noProof/>
              </w:rPr>
              <w:t>Validation of donor infectious marker testing kits and other methods</w:t>
            </w:r>
            <w:r w:rsidR="00DF3CAF">
              <w:rPr>
                <w:noProof/>
                <w:webHidden/>
              </w:rPr>
              <w:tab/>
            </w:r>
            <w:r w:rsidR="00DF3CAF">
              <w:rPr>
                <w:noProof/>
                <w:webHidden/>
              </w:rPr>
              <w:fldChar w:fldCharType="begin"/>
            </w:r>
            <w:r w:rsidR="00DF3CAF">
              <w:rPr>
                <w:noProof/>
                <w:webHidden/>
              </w:rPr>
              <w:instrText xml:space="preserve"> PAGEREF _Toc41427154 \h </w:instrText>
            </w:r>
            <w:r w:rsidR="00DF3CAF">
              <w:rPr>
                <w:noProof/>
                <w:webHidden/>
              </w:rPr>
            </w:r>
            <w:r w:rsidR="00DF3CAF">
              <w:rPr>
                <w:noProof/>
                <w:webHidden/>
              </w:rPr>
              <w:fldChar w:fldCharType="separate"/>
            </w:r>
            <w:r w:rsidR="00DF3CAF">
              <w:rPr>
                <w:noProof/>
                <w:webHidden/>
              </w:rPr>
              <w:t>12</w:t>
            </w:r>
            <w:r w:rsidR="00DF3CAF">
              <w:rPr>
                <w:noProof/>
                <w:webHidden/>
              </w:rPr>
              <w:fldChar w:fldCharType="end"/>
            </w:r>
          </w:hyperlink>
        </w:p>
        <w:p w14:paraId="33606F81" w14:textId="320C0C8F" w:rsidR="00DF3CAF" w:rsidRDefault="005676C9">
          <w:pPr>
            <w:pStyle w:val="TOC2"/>
            <w:tabs>
              <w:tab w:val="left" w:pos="880"/>
              <w:tab w:val="right" w:pos="9350"/>
            </w:tabs>
            <w:rPr>
              <w:noProof/>
              <w:sz w:val="22"/>
              <w:szCs w:val="22"/>
              <w:lang w:val="fi-FI" w:eastAsia="fi-FI"/>
            </w:rPr>
          </w:pPr>
          <w:hyperlink w:anchor="_Toc41427155" w:history="1">
            <w:r w:rsidR="00DF3CAF" w:rsidRPr="00D73A71">
              <w:rPr>
                <w:rStyle w:val="Hyperlink"/>
                <w:noProof/>
              </w:rPr>
              <w:t>3.3.</w:t>
            </w:r>
            <w:r w:rsidR="00DF3CAF">
              <w:rPr>
                <w:noProof/>
                <w:sz w:val="22"/>
                <w:szCs w:val="22"/>
                <w:lang w:val="fi-FI" w:eastAsia="fi-FI"/>
              </w:rPr>
              <w:tab/>
            </w:r>
            <w:r w:rsidR="00DF3CAF" w:rsidRPr="00D73A71">
              <w:rPr>
                <w:rStyle w:val="Hyperlink"/>
                <w:noProof/>
              </w:rPr>
              <w:t>Performance of donor infectious marker testing kits and other methods</w:t>
            </w:r>
            <w:r w:rsidR="00DF3CAF">
              <w:rPr>
                <w:noProof/>
                <w:webHidden/>
              </w:rPr>
              <w:tab/>
            </w:r>
            <w:r w:rsidR="00DF3CAF">
              <w:rPr>
                <w:noProof/>
                <w:webHidden/>
              </w:rPr>
              <w:fldChar w:fldCharType="begin"/>
            </w:r>
            <w:r w:rsidR="00DF3CAF">
              <w:rPr>
                <w:noProof/>
                <w:webHidden/>
              </w:rPr>
              <w:instrText xml:space="preserve"> PAGEREF _Toc41427155 \h </w:instrText>
            </w:r>
            <w:r w:rsidR="00DF3CAF">
              <w:rPr>
                <w:noProof/>
                <w:webHidden/>
              </w:rPr>
            </w:r>
            <w:r w:rsidR="00DF3CAF">
              <w:rPr>
                <w:noProof/>
                <w:webHidden/>
              </w:rPr>
              <w:fldChar w:fldCharType="separate"/>
            </w:r>
            <w:r w:rsidR="00DF3CAF">
              <w:rPr>
                <w:noProof/>
                <w:webHidden/>
              </w:rPr>
              <w:t>13</w:t>
            </w:r>
            <w:r w:rsidR="00DF3CAF">
              <w:rPr>
                <w:noProof/>
                <w:webHidden/>
              </w:rPr>
              <w:fldChar w:fldCharType="end"/>
            </w:r>
          </w:hyperlink>
        </w:p>
        <w:p w14:paraId="15A27771" w14:textId="0B42DA35" w:rsidR="00DF3CAF" w:rsidRDefault="005676C9">
          <w:pPr>
            <w:pStyle w:val="TOC2"/>
            <w:tabs>
              <w:tab w:val="left" w:pos="880"/>
              <w:tab w:val="right" w:pos="9350"/>
            </w:tabs>
            <w:rPr>
              <w:noProof/>
              <w:sz w:val="22"/>
              <w:szCs w:val="22"/>
              <w:lang w:val="fi-FI" w:eastAsia="fi-FI"/>
            </w:rPr>
          </w:pPr>
          <w:hyperlink w:anchor="_Toc41427156" w:history="1">
            <w:r w:rsidR="00DF3CAF" w:rsidRPr="00D73A71">
              <w:rPr>
                <w:rStyle w:val="Hyperlink"/>
                <w:noProof/>
              </w:rPr>
              <w:t>3.4.</w:t>
            </w:r>
            <w:r w:rsidR="00DF3CAF">
              <w:rPr>
                <w:noProof/>
                <w:sz w:val="22"/>
                <w:szCs w:val="22"/>
                <w:lang w:val="fi-FI" w:eastAsia="fi-FI"/>
              </w:rPr>
              <w:tab/>
            </w:r>
            <w:r w:rsidR="00DF3CAF" w:rsidRPr="00D73A71">
              <w:rPr>
                <w:rStyle w:val="Hyperlink"/>
                <w:noProof/>
              </w:rPr>
              <w:t>Donor testing of emerging infectious agents</w:t>
            </w:r>
            <w:r w:rsidR="00DF3CAF">
              <w:rPr>
                <w:noProof/>
                <w:webHidden/>
              </w:rPr>
              <w:tab/>
            </w:r>
            <w:r w:rsidR="00DF3CAF">
              <w:rPr>
                <w:noProof/>
                <w:webHidden/>
              </w:rPr>
              <w:fldChar w:fldCharType="begin"/>
            </w:r>
            <w:r w:rsidR="00DF3CAF">
              <w:rPr>
                <w:noProof/>
                <w:webHidden/>
              </w:rPr>
              <w:instrText xml:space="preserve"> PAGEREF _Toc41427156 \h </w:instrText>
            </w:r>
            <w:r w:rsidR="00DF3CAF">
              <w:rPr>
                <w:noProof/>
                <w:webHidden/>
              </w:rPr>
            </w:r>
            <w:r w:rsidR="00DF3CAF">
              <w:rPr>
                <w:noProof/>
                <w:webHidden/>
              </w:rPr>
              <w:fldChar w:fldCharType="separate"/>
            </w:r>
            <w:r w:rsidR="00DF3CAF">
              <w:rPr>
                <w:noProof/>
                <w:webHidden/>
              </w:rPr>
              <w:t>14</w:t>
            </w:r>
            <w:r w:rsidR="00DF3CAF">
              <w:rPr>
                <w:noProof/>
                <w:webHidden/>
              </w:rPr>
              <w:fldChar w:fldCharType="end"/>
            </w:r>
          </w:hyperlink>
        </w:p>
        <w:p w14:paraId="14CCD9C8" w14:textId="46045481" w:rsidR="00DF3CAF" w:rsidRDefault="005676C9">
          <w:pPr>
            <w:pStyle w:val="TOC2"/>
            <w:tabs>
              <w:tab w:val="left" w:pos="880"/>
              <w:tab w:val="right" w:pos="9350"/>
            </w:tabs>
            <w:rPr>
              <w:noProof/>
              <w:sz w:val="22"/>
              <w:szCs w:val="22"/>
              <w:lang w:val="fi-FI" w:eastAsia="fi-FI"/>
            </w:rPr>
          </w:pPr>
          <w:hyperlink w:anchor="_Toc41427157" w:history="1">
            <w:r w:rsidR="00DF3CAF" w:rsidRPr="00D73A71">
              <w:rPr>
                <w:rStyle w:val="Hyperlink"/>
                <w:noProof/>
              </w:rPr>
              <w:t>3.5.</w:t>
            </w:r>
            <w:r w:rsidR="00DF3CAF">
              <w:rPr>
                <w:noProof/>
                <w:sz w:val="22"/>
                <w:szCs w:val="22"/>
                <w:lang w:val="fi-FI" w:eastAsia="fi-FI"/>
              </w:rPr>
              <w:tab/>
            </w:r>
            <w:r w:rsidR="00DF3CAF" w:rsidRPr="00D73A71">
              <w:rPr>
                <w:rStyle w:val="Hyperlink"/>
                <w:noProof/>
              </w:rPr>
              <w:t>Information on donor infectious disease marker testing kits</w:t>
            </w:r>
            <w:r w:rsidR="00DF3CAF">
              <w:rPr>
                <w:noProof/>
                <w:webHidden/>
              </w:rPr>
              <w:tab/>
            </w:r>
            <w:r w:rsidR="00DF3CAF">
              <w:rPr>
                <w:noProof/>
                <w:webHidden/>
              </w:rPr>
              <w:fldChar w:fldCharType="begin"/>
            </w:r>
            <w:r w:rsidR="00DF3CAF">
              <w:rPr>
                <w:noProof/>
                <w:webHidden/>
              </w:rPr>
              <w:instrText xml:space="preserve"> PAGEREF _Toc41427157 \h </w:instrText>
            </w:r>
            <w:r w:rsidR="00DF3CAF">
              <w:rPr>
                <w:noProof/>
                <w:webHidden/>
              </w:rPr>
            </w:r>
            <w:r w:rsidR="00DF3CAF">
              <w:rPr>
                <w:noProof/>
                <w:webHidden/>
              </w:rPr>
              <w:fldChar w:fldCharType="separate"/>
            </w:r>
            <w:r w:rsidR="00DF3CAF">
              <w:rPr>
                <w:noProof/>
                <w:webHidden/>
              </w:rPr>
              <w:t>15</w:t>
            </w:r>
            <w:r w:rsidR="00DF3CAF">
              <w:rPr>
                <w:noProof/>
                <w:webHidden/>
              </w:rPr>
              <w:fldChar w:fldCharType="end"/>
            </w:r>
          </w:hyperlink>
        </w:p>
        <w:p w14:paraId="11CB9C2F" w14:textId="57282282" w:rsidR="00DF3CAF" w:rsidRDefault="005676C9">
          <w:pPr>
            <w:pStyle w:val="TOC1"/>
            <w:tabs>
              <w:tab w:val="left" w:pos="420"/>
              <w:tab w:val="right" w:pos="9350"/>
            </w:tabs>
            <w:rPr>
              <w:noProof/>
              <w:sz w:val="22"/>
              <w:szCs w:val="22"/>
              <w:lang w:val="fi-FI" w:eastAsia="fi-FI"/>
            </w:rPr>
          </w:pPr>
          <w:hyperlink w:anchor="_Toc41427158" w:history="1">
            <w:r w:rsidR="00DF3CAF" w:rsidRPr="00D73A71">
              <w:rPr>
                <w:rStyle w:val="Hyperlink"/>
                <w:noProof/>
              </w:rPr>
              <w:t>4.</w:t>
            </w:r>
            <w:r w:rsidR="00DF3CAF">
              <w:rPr>
                <w:noProof/>
                <w:sz w:val="22"/>
                <w:szCs w:val="22"/>
                <w:lang w:val="fi-FI" w:eastAsia="fi-FI"/>
              </w:rPr>
              <w:tab/>
            </w:r>
            <w:r w:rsidR="00DF3CAF" w:rsidRPr="00D73A71">
              <w:rPr>
                <w:rStyle w:val="Hyperlink"/>
                <w:noProof/>
              </w:rPr>
              <w:t>Criteria for validation of pathogen reduction steps</w:t>
            </w:r>
            <w:r w:rsidR="00DF3CAF">
              <w:rPr>
                <w:noProof/>
                <w:webHidden/>
              </w:rPr>
              <w:tab/>
            </w:r>
            <w:r w:rsidR="00DF3CAF">
              <w:rPr>
                <w:noProof/>
                <w:webHidden/>
              </w:rPr>
              <w:fldChar w:fldCharType="begin"/>
            </w:r>
            <w:r w:rsidR="00DF3CAF">
              <w:rPr>
                <w:noProof/>
                <w:webHidden/>
              </w:rPr>
              <w:instrText xml:space="preserve"> PAGEREF _Toc41427158 \h </w:instrText>
            </w:r>
            <w:r w:rsidR="00DF3CAF">
              <w:rPr>
                <w:noProof/>
                <w:webHidden/>
              </w:rPr>
            </w:r>
            <w:r w:rsidR="00DF3CAF">
              <w:rPr>
                <w:noProof/>
                <w:webHidden/>
              </w:rPr>
              <w:fldChar w:fldCharType="separate"/>
            </w:r>
            <w:r w:rsidR="00DF3CAF">
              <w:rPr>
                <w:noProof/>
                <w:webHidden/>
              </w:rPr>
              <w:t>16</w:t>
            </w:r>
            <w:r w:rsidR="00DF3CAF">
              <w:rPr>
                <w:noProof/>
                <w:webHidden/>
              </w:rPr>
              <w:fldChar w:fldCharType="end"/>
            </w:r>
          </w:hyperlink>
        </w:p>
        <w:p w14:paraId="4B337856" w14:textId="66F7FF07" w:rsidR="00DF3CAF" w:rsidRDefault="005676C9">
          <w:pPr>
            <w:pStyle w:val="TOC2"/>
            <w:tabs>
              <w:tab w:val="left" w:pos="880"/>
              <w:tab w:val="right" w:pos="9350"/>
            </w:tabs>
            <w:rPr>
              <w:noProof/>
              <w:sz w:val="22"/>
              <w:szCs w:val="22"/>
              <w:lang w:val="fi-FI" w:eastAsia="fi-FI"/>
            </w:rPr>
          </w:pPr>
          <w:hyperlink w:anchor="_Toc41427159" w:history="1">
            <w:r w:rsidR="00DF3CAF" w:rsidRPr="00D73A71">
              <w:rPr>
                <w:rStyle w:val="Hyperlink"/>
                <w:noProof/>
              </w:rPr>
              <w:t>4.1.</w:t>
            </w:r>
            <w:r w:rsidR="00DF3CAF">
              <w:rPr>
                <w:noProof/>
                <w:sz w:val="22"/>
                <w:szCs w:val="22"/>
                <w:lang w:val="fi-FI" w:eastAsia="fi-FI"/>
              </w:rPr>
              <w:tab/>
            </w:r>
            <w:r w:rsidR="00DF3CAF" w:rsidRPr="00D73A71">
              <w:rPr>
                <w:rStyle w:val="Hyperlink"/>
                <w:noProof/>
              </w:rPr>
              <w:t>Validation requirements depend on the type of PRT</w:t>
            </w:r>
            <w:r w:rsidR="00DF3CAF">
              <w:rPr>
                <w:noProof/>
                <w:webHidden/>
              </w:rPr>
              <w:tab/>
            </w:r>
            <w:r w:rsidR="00DF3CAF">
              <w:rPr>
                <w:noProof/>
                <w:webHidden/>
              </w:rPr>
              <w:fldChar w:fldCharType="begin"/>
            </w:r>
            <w:r w:rsidR="00DF3CAF">
              <w:rPr>
                <w:noProof/>
                <w:webHidden/>
              </w:rPr>
              <w:instrText xml:space="preserve"> PAGEREF _Toc41427159 \h </w:instrText>
            </w:r>
            <w:r w:rsidR="00DF3CAF">
              <w:rPr>
                <w:noProof/>
                <w:webHidden/>
              </w:rPr>
            </w:r>
            <w:r w:rsidR="00DF3CAF">
              <w:rPr>
                <w:noProof/>
                <w:webHidden/>
              </w:rPr>
              <w:fldChar w:fldCharType="separate"/>
            </w:r>
            <w:r w:rsidR="00DF3CAF">
              <w:rPr>
                <w:noProof/>
                <w:webHidden/>
              </w:rPr>
              <w:t>16</w:t>
            </w:r>
            <w:r w:rsidR="00DF3CAF">
              <w:rPr>
                <w:noProof/>
                <w:webHidden/>
              </w:rPr>
              <w:fldChar w:fldCharType="end"/>
            </w:r>
          </w:hyperlink>
        </w:p>
        <w:p w14:paraId="109C5D1A" w14:textId="1715A0E8" w:rsidR="00DF3CAF" w:rsidRDefault="005676C9">
          <w:pPr>
            <w:pStyle w:val="TOC2"/>
            <w:tabs>
              <w:tab w:val="left" w:pos="880"/>
              <w:tab w:val="right" w:pos="9350"/>
            </w:tabs>
            <w:rPr>
              <w:noProof/>
              <w:sz w:val="22"/>
              <w:szCs w:val="22"/>
              <w:lang w:val="fi-FI" w:eastAsia="fi-FI"/>
            </w:rPr>
          </w:pPr>
          <w:hyperlink w:anchor="_Toc41427160" w:history="1">
            <w:r w:rsidR="00DF3CAF" w:rsidRPr="00D73A71">
              <w:rPr>
                <w:rStyle w:val="Hyperlink"/>
                <w:noProof/>
              </w:rPr>
              <w:t>4.2.</w:t>
            </w:r>
            <w:r w:rsidR="00DF3CAF">
              <w:rPr>
                <w:noProof/>
                <w:sz w:val="22"/>
                <w:szCs w:val="22"/>
                <w:lang w:val="fi-FI" w:eastAsia="fi-FI"/>
              </w:rPr>
              <w:tab/>
            </w:r>
            <w:r w:rsidR="00DF3CAF" w:rsidRPr="00D73A71">
              <w:rPr>
                <w:rStyle w:val="Hyperlink"/>
                <w:noProof/>
              </w:rPr>
              <w:t>Aspects of PRT validation</w:t>
            </w:r>
            <w:r w:rsidR="00DF3CAF">
              <w:rPr>
                <w:noProof/>
                <w:webHidden/>
              </w:rPr>
              <w:tab/>
            </w:r>
            <w:r w:rsidR="00DF3CAF">
              <w:rPr>
                <w:noProof/>
                <w:webHidden/>
              </w:rPr>
              <w:fldChar w:fldCharType="begin"/>
            </w:r>
            <w:r w:rsidR="00DF3CAF">
              <w:rPr>
                <w:noProof/>
                <w:webHidden/>
              </w:rPr>
              <w:instrText xml:space="preserve"> PAGEREF _Toc41427160 \h </w:instrText>
            </w:r>
            <w:r w:rsidR="00DF3CAF">
              <w:rPr>
                <w:noProof/>
                <w:webHidden/>
              </w:rPr>
            </w:r>
            <w:r w:rsidR="00DF3CAF">
              <w:rPr>
                <w:noProof/>
                <w:webHidden/>
              </w:rPr>
              <w:fldChar w:fldCharType="separate"/>
            </w:r>
            <w:r w:rsidR="00DF3CAF">
              <w:rPr>
                <w:noProof/>
                <w:webHidden/>
              </w:rPr>
              <w:t>19</w:t>
            </w:r>
            <w:r w:rsidR="00DF3CAF">
              <w:rPr>
                <w:noProof/>
                <w:webHidden/>
              </w:rPr>
              <w:fldChar w:fldCharType="end"/>
            </w:r>
          </w:hyperlink>
        </w:p>
        <w:p w14:paraId="59AC6A76" w14:textId="23225ABF" w:rsidR="00DF3CAF" w:rsidRDefault="005676C9">
          <w:pPr>
            <w:pStyle w:val="TOC2"/>
            <w:tabs>
              <w:tab w:val="left" w:pos="880"/>
              <w:tab w:val="right" w:pos="9350"/>
            </w:tabs>
            <w:rPr>
              <w:noProof/>
              <w:sz w:val="22"/>
              <w:szCs w:val="22"/>
              <w:lang w:val="fi-FI" w:eastAsia="fi-FI"/>
            </w:rPr>
          </w:pPr>
          <w:hyperlink w:anchor="_Toc41427161" w:history="1">
            <w:r w:rsidR="00DF3CAF" w:rsidRPr="00D73A71">
              <w:rPr>
                <w:rStyle w:val="Hyperlink"/>
                <w:noProof/>
              </w:rPr>
              <w:t>4.3.</w:t>
            </w:r>
            <w:r w:rsidR="00DF3CAF">
              <w:rPr>
                <w:noProof/>
                <w:sz w:val="22"/>
                <w:szCs w:val="22"/>
                <w:lang w:val="fi-FI" w:eastAsia="fi-FI"/>
              </w:rPr>
              <w:tab/>
            </w:r>
            <w:r w:rsidR="00DF3CAF" w:rsidRPr="00D73A71">
              <w:rPr>
                <w:rStyle w:val="Hyperlink"/>
                <w:noProof/>
              </w:rPr>
              <w:t>Validation criteria</w:t>
            </w:r>
            <w:r w:rsidR="00DF3CAF">
              <w:rPr>
                <w:noProof/>
                <w:webHidden/>
              </w:rPr>
              <w:tab/>
            </w:r>
            <w:r w:rsidR="00DF3CAF">
              <w:rPr>
                <w:noProof/>
                <w:webHidden/>
              </w:rPr>
              <w:fldChar w:fldCharType="begin"/>
            </w:r>
            <w:r w:rsidR="00DF3CAF">
              <w:rPr>
                <w:noProof/>
                <w:webHidden/>
              </w:rPr>
              <w:instrText xml:space="preserve"> PAGEREF _Toc41427161 \h </w:instrText>
            </w:r>
            <w:r w:rsidR="00DF3CAF">
              <w:rPr>
                <w:noProof/>
                <w:webHidden/>
              </w:rPr>
            </w:r>
            <w:r w:rsidR="00DF3CAF">
              <w:rPr>
                <w:noProof/>
                <w:webHidden/>
              </w:rPr>
              <w:fldChar w:fldCharType="separate"/>
            </w:r>
            <w:r w:rsidR="00DF3CAF">
              <w:rPr>
                <w:noProof/>
                <w:webHidden/>
              </w:rPr>
              <w:t>21</w:t>
            </w:r>
            <w:r w:rsidR="00DF3CAF">
              <w:rPr>
                <w:noProof/>
                <w:webHidden/>
              </w:rPr>
              <w:fldChar w:fldCharType="end"/>
            </w:r>
          </w:hyperlink>
        </w:p>
        <w:p w14:paraId="467D1DAA" w14:textId="339DADBF" w:rsidR="00DF3CAF" w:rsidRDefault="005676C9">
          <w:pPr>
            <w:pStyle w:val="TOC2"/>
            <w:tabs>
              <w:tab w:val="left" w:pos="880"/>
              <w:tab w:val="right" w:pos="9350"/>
            </w:tabs>
            <w:rPr>
              <w:noProof/>
              <w:sz w:val="22"/>
              <w:szCs w:val="22"/>
              <w:lang w:val="fi-FI" w:eastAsia="fi-FI"/>
            </w:rPr>
          </w:pPr>
          <w:hyperlink w:anchor="_Toc41427162" w:history="1">
            <w:r w:rsidR="00DF3CAF" w:rsidRPr="00D73A71">
              <w:rPr>
                <w:rStyle w:val="Hyperlink"/>
                <w:noProof/>
              </w:rPr>
              <w:t>4.4.</w:t>
            </w:r>
            <w:r w:rsidR="00DF3CAF">
              <w:rPr>
                <w:noProof/>
                <w:sz w:val="22"/>
                <w:szCs w:val="22"/>
                <w:lang w:val="fi-FI" w:eastAsia="fi-FI"/>
              </w:rPr>
              <w:tab/>
            </w:r>
            <w:r w:rsidR="00DF3CAF" w:rsidRPr="00D73A71">
              <w:rPr>
                <w:rStyle w:val="Hyperlink"/>
                <w:noProof/>
              </w:rPr>
              <w:t>Methods for control of microbiological quality</w:t>
            </w:r>
            <w:r w:rsidR="00DF3CAF">
              <w:rPr>
                <w:noProof/>
                <w:webHidden/>
              </w:rPr>
              <w:tab/>
            </w:r>
            <w:r w:rsidR="00DF3CAF">
              <w:rPr>
                <w:noProof/>
                <w:webHidden/>
              </w:rPr>
              <w:fldChar w:fldCharType="begin"/>
            </w:r>
            <w:r w:rsidR="00DF3CAF">
              <w:rPr>
                <w:noProof/>
                <w:webHidden/>
              </w:rPr>
              <w:instrText xml:space="preserve"> PAGEREF _Toc41427162 \h </w:instrText>
            </w:r>
            <w:r w:rsidR="00DF3CAF">
              <w:rPr>
                <w:noProof/>
                <w:webHidden/>
              </w:rPr>
            </w:r>
            <w:r w:rsidR="00DF3CAF">
              <w:rPr>
                <w:noProof/>
                <w:webHidden/>
              </w:rPr>
              <w:fldChar w:fldCharType="separate"/>
            </w:r>
            <w:r w:rsidR="00DF3CAF">
              <w:rPr>
                <w:noProof/>
                <w:webHidden/>
              </w:rPr>
              <w:t>21</w:t>
            </w:r>
            <w:r w:rsidR="00DF3CAF">
              <w:rPr>
                <w:noProof/>
                <w:webHidden/>
              </w:rPr>
              <w:fldChar w:fldCharType="end"/>
            </w:r>
          </w:hyperlink>
        </w:p>
        <w:p w14:paraId="48E7D2B5" w14:textId="3352C4E4" w:rsidR="00DF3CAF" w:rsidRDefault="005676C9">
          <w:pPr>
            <w:pStyle w:val="TOC2"/>
            <w:tabs>
              <w:tab w:val="left" w:pos="880"/>
              <w:tab w:val="right" w:pos="9350"/>
            </w:tabs>
            <w:rPr>
              <w:noProof/>
              <w:sz w:val="22"/>
              <w:szCs w:val="22"/>
              <w:lang w:val="fi-FI" w:eastAsia="fi-FI"/>
            </w:rPr>
          </w:pPr>
          <w:hyperlink w:anchor="_Toc41427163" w:history="1">
            <w:r w:rsidR="00DF3CAF" w:rsidRPr="00D73A71">
              <w:rPr>
                <w:rStyle w:val="Hyperlink"/>
                <w:noProof/>
              </w:rPr>
              <w:t>4.5.</w:t>
            </w:r>
            <w:r w:rsidR="00DF3CAF">
              <w:rPr>
                <w:noProof/>
                <w:sz w:val="22"/>
                <w:szCs w:val="22"/>
                <w:lang w:val="fi-FI" w:eastAsia="fi-FI"/>
              </w:rPr>
              <w:tab/>
            </w:r>
            <w:r w:rsidR="00DF3CAF" w:rsidRPr="00D73A71">
              <w:rPr>
                <w:rStyle w:val="Hyperlink"/>
                <w:noProof/>
              </w:rPr>
              <w:t>Effect of PRT on BTC quality</w:t>
            </w:r>
            <w:r w:rsidR="00DF3CAF">
              <w:rPr>
                <w:noProof/>
                <w:webHidden/>
              </w:rPr>
              <w:tab/>
            </w:r>
            <w:r w:rsidR="00DF3CAF">
              <w:rPr>
                <w:noProof/>
                <w:webHidden/>
              </w:rPr>
              <w:fldChar w:fldCharType="begin"/>
            </w:r>
            <w:r w:rsidR="00DF3CAF">
              <w:rPr>
                <w:noProof/>
                <w:webHidden/>
              </w:rPr>
              <w:instrText xml:space="preserve"> PAGEREF _Toc41427163 \h </w:instrText>
            </w:r>
            <w:r w:rsidR="00DF3CAF">
              <w:rPr>
                <w:noProof/>
                <w:webHidden/>
              </w:rPr>
            </w:r>
            <w:r w:rsidR="00DF3CAF">
              <w:rPr>
                <w:noProof/>
                <w:webHidden/>
              </w:rPr>
              <w:fldChar w:fldCharType="separate"/>
            </w:r>
            <w:r w:rsidR="00DF3CAF">
              <w:rPr>
                <w:noProof/>
                <w:webHidden/>
              </w:rPr>
              <w:t>22</w:t>
            </w:r>
            <w:r w:rsidR="00DF3CAF">
              <w:rPr>
                <w:noProof/>
                <w:webHidden/>
              </w:rPr>
              <w:fldChar w:fldCharType="end"/>
            </w:r>
          </w:hyperlink>
        </w:p>
        <w:p w14:paraId="008B3C54" w14:textId="542B9426" w:rsidR="00DF3CAF" w:rsidRDefault="005676C9">
          <w:pPr>
            <w:pStyle w:val="TOC1"/>
            <w:tabs>
              <w:tab w:val="left" w:pos="420"/>
              <w:tab w:val="right" w:pos="9350"/>
            </w:tabs>
            <w:rPr>
              <w:noProof/>
              <w:sz w:val="22"/>
              <w:szCs w:val="22"/>
              <w:lang w:val="fi-FI" w:eastAsia="fi-FI"/>
            </w:rPr>
          </w:pPr>
          <w:hyperlink w:anchor="_Toc41427164" w:history="1">
            <w:r w:rsidR="00DF3CAF" w:rsidRPr="00D73A71">
              <w:rPr>
                <w:rStyle w:val="Hyperlink"/>
                <w:noProof/>
              </w:rPr>
              <w:t>5.</w:t>
            </w:r>
            <w:r w:rsidR="00DF3CAF">
              <w:rPr>
                <w:noProof/>
                <w:sz w:val="22"/>
                <w:szCs w:val="22"/>
                <w:lang w:val="fi-FI" w:eastAsia="fi-FI"/>
              </w:rPr>
              <w:tab/>
            </w:r>
            <w:r w:rsidR="00DF3CAF" w:rsidRPr="00D73A71">
              <w:rPr>
                <w:rStyle w:val="Hyperlink"/>
                <w:noProof/>
              </w:rPr>
              <w:t>Criteria for validation of sterilisation methods</w:t>
            </w:r>
            <w:r w:rsidR="00DF3CAF">
              <w:rPr>
                <w:noProof/>
                <w:webHidden/>
              </w:rPr>
              <w:tab/>
            </w:r>
            <w:r w:rsidR="00DF3CAF">
              <w:rPr>
                <w:noProof/>
                <w:webHidden/>
              </w:rPr>
              <w:fldChar w:fldCharType="begin"/>
            </w:r>
            <w:r w:rsidR="00DF3CAF">
              <w:rPr>
                <w:noProof/>
                <w:webHidden/>
              </w:rPr>
              <w:instrText xml:space="preserve"> PAGEREF _Toc41427164 \h </w:instrText>
            </w:r>
            <w:r w:rsidR="00DF3CAF">
              <w:rPr>
                <w:noProof/>
                <w:webHidden/>
              </w:rPr>
            </w:r>
            <w:r w:rsidR="00DF3CAF">
              <w:rPr>
                <w:noProof/>
                <w:webHidden/>
              </w:rPr>
              <w:fldChar w:fldCharType="separate"/>
            </w:r>
            <w:r w:rsidR="00DF3CAF">
              <w:rPr>
                <w:noProof/>
                <w:webHidden/>
              </w:rPr>
              <w:t>23</w:t>
            </w:r>
            <w:r w:rsidR="00DF3CAF">
              <w:rPr>
                <w:noProof/>
                <w:webHidden/>
              </w:rPr>
              <w:fldChar w:fldCharType="end"/>
            </w:r>
          </w:hyperlink>
        </w:p>
        <w:p w14:paraId="78961C6F" w14:textId="55BB868C" w:rsidR="00DF3CAF" w:rsidRDefault="005676C9">
          <w:pPr>
            <w:pStyle w:val="TOC2"/>
            <w:tabs>
              <w:tab w:val="left" w:pos="880"/>
              <w:tab w:val="right" w:pos="9350"/>
            </w:tabs>
            <w:rPr>
              <w:noProof/>
              <w:sz w:val="22"/>
              <w:szCs w:val="22"/>
              <w:lang w:val="fi-FI" w:eastAsia="fi-FI"/>
            </w:rPr>
          </w:pPr>
          <w:hyperlink w:anchor="_Toc41427165" w:history="1">
            <w:r w:rsidR="00DF3CAF" w:rsidRPr="00D73A71">
              <w:rPr>
                <w:rStyle w:val="Hyperlink"/>
                <w:noProof/>
              </w:rPr>
              <w:t>5.1.</w:t>
            </w:r>
            <w:r w:rsidR="00DF3CAF">
              <w:rPr>
                <w:noProof/>
                <w:sz w:val="22"/>
                <w:szCs w:val="22"/>
                <w:lang w:val="fi-FI" w:eastAsia="fi-FI"/>
              </w:rPr>
              <w:tab/>
            </w:r>
            <w:r w:rsidR="00DF3CAF" w:rsidRPr="00D73A71">
              <w:rPr>
                <w:rStyle w:val="Hyperlink"/>
                <w:noProof/>
              </w:rPr>
              <w:t>Objects of sterilisation</w:t>
            </w:r>
            <w:r w:rsidR="00DF3CAF">
              <w:rPr>
                <w:noProof/>
                <w:webHidden/>
              </w:rPr>
              <w:tab/>
            </w:r>
            <w:r w:rsidR="00DF3CAF">
              <w:rPr>
                <w:noProof/>
                <w:webHidden/>
              </w:rPr>
              <w:fldChar w:fldCharType="begin"/>
            </w:r>
            <w:r w:rsidR="00DF3CAF">
              <w:rPr>
                <w:noProof/>
                <w:webHidden/>
              </w:rPr>
              <w:instrText xml:space="preserve"> PAGEREF _Toc41427165 \h </w:instrText>
            </w:r>
            <w:r w:rsidR="00DF3CAF">
              <w:rPr>
                <w:noProof/>
                <w:webHidden/>
              </w:rPr>
            </w:r>
            <w:r w:rsidR="00DF3CAF">
              <w:rPr>
                <w:noProof/>
                <w:webHidden/>
              </w:rPr>
              <w:fldChar w:fldCharType="separate"/>
            </w:r>
            <w:r w:rsidR="00DF3CAF">
              <w:rPr>
                <w:noProof/>
                <w:webHidden/>
              </w:rPr>
              <w:t>23</w:t>
            </w:r>
            <w:r w:rsidR="00DF3CAF">
              <w:rPr>
                <w:noProof/>
                <w:webHidden/>
              </w:rPr>
              <w:fldChar w:fldCharType="end"/>
            </w:r>
          </w:hyperlink>
        </w:p>
        <w:p w14:paraId="31CDB7D3" w14:textId="48AE04D5" w:rsidR="00DF3CAF" w:rsidRDefault="005676C9">
          <w:pPr>
            <w:pStyle w:val="TOC2"/>
            <w:tabs>
              <w:tab w:val="left" w:pos="880"/>
              <w:tab w:val="right" w:pos="9350"/>
            </w:tabs>
            <w:rPr>
              <w:noProof/>
              <w:sz w:val="22"/>
              <w:szCs w:val="22"/>
              <w:lang w:val="fi-FI" w:eastAsia="fi-FI"/>
            </w:rPr>
          </w:pPr>
          <w:hyperlink w:anchor="_Toc41427166" w:history="1">
            <w:r w:rsidR="00DF3CAF" w:rsidRPr="00D73A71">
              <w:rPr>
                <w:rStyle w:val="Hyperlink"/>
                <w:noProof/>
              </w:rPr>
              <w:t>5.2.</w:t>
            </w:r>
            <w:r w:rsidR="00DF3CAF">
              <w:rPr>
                <w:noProof/>
                <w:sz w:val="22"/>
                <w:szCs w:val="22"/>
                <w:lang w:val="fi-FI" w:eastAsia="fi-FI"/>
              </w:rPr>
              <w:tab/>
            </w:r>
            <w:r w:rsidR="00DF3CAF" w:rsidRPr="00D73A71">
              <w:rPr>
                <w:rStyle w:val="Hyperlink"/>
                <w:noProof/>
              </w:rPr>
              <w:t>Sterilisation methods</w:t>
            </w:r>
            <w:r w:rsidR="00DF3CAF">
              <w:rPr>
                <w:noProof/>
                <w:webHidden/>
              </w:rPr>
              <w:tab/>
            </w:r>
            <w:r w:rsidR="00DF3CAF">
              <w:rPr>
                <w:noProof/>
                <w:webHidden/>
              </w:rPr>
              <w:fldChar w:fldCharType="begin"/>
            </w:r>
            <w:r w:rsidR="00DF3CAF">
              <w:rPr>
                <w:noProof/>
                <w:webHidden/>
              </w:rPr>
              <w:instrText xml:space="preserve"> PAGEREF _Toc41427166 \h </w:instrText>
            </w:r>
            <w:r w:rsidR="00DF3CAF">
              <w:rPr>
                <w:noProof/>
                <w:webHidden/>
              </w:rPr>
            </w:r>
            <w:r w:rsidR="00DF3CAF">
              <w:rPr>
                <w:noProof/>
                <w:webHidden/>
              </w:rPr>
              <w:fldChar w:fldCharType="separate"/>
            </w:r>
            <w:r w:rsidR="00DF3CAF">
              <w:rPr>
                <w:noProof/>
                <w:webHidden/>
              </w:rPr>
              <w:t>24</w:t>
            </w:r>
            <w:r w:rsidR="00DF3CAF">
              <w:rPr>
                <w:noProof/>
                <w:webHidden/>
              </w:rPr>
              <w:fldChar w:fldCharType="end"/>
            </w:r>
          </w:hyperlink>
        </w:p>
        <w:p w14:paraId="3C11F571" w14:textId="38A7E2EA" w:rsidR="00DF3CAF" w:rsidRDefault="005676C9">
          <w:pPr>
            <w:pStyle w:val="TOC2"/>
            <w:tabs>
              <w:tab w:val="left" w:pos="880"/>
              <w:tab w:val="right" w:pos="9350"/>
            </w:tabs>
            <w:rPr>
              <w:noProof/>
              <w:sz w:val="22"/>
              <w:szCs w:val="22"/>
              <w:lang w:val="fi-FI" w:eastAsia="fi-FI"/>
            </w:rPr>
          </w:pPr>
          <w:hyperlink w:anchor="_Toc41427167" w:history="1">
            <w:r w:rsidR="00DF3CAF" w:rsidRPr="00D73A71">
              <w:rPr>
                <w:rStyle w:val="Hyperlink"/>
                <w:noProof/>
              </w:rPr>
              <w:t>5.3.</w:t>
            </w:r>
            <w:r w:rsidR="00DF3CAF">
              <w:rPr>
                <w:noProof/>
                <w:sz w:val="22"/>
                <w:szCs w:val="22"/>
                <w:lang w:val="fi-FI" w:eastAsia="fi-FI"/>
              </w:rPr>
              <w:tab/>
            </w:r>
            <w:r w:rsidR="00DF3CAF" w:rsidRPr="00D73A71">
              <w:rPr>
                <w:rStyle w:val="Hyperlink"/>
                <w:noProof/>
              </w:rPr>
              <w:t>General validation requirements for sterilisation</w:t>
            </w:r>
            <w:r w:rsidR="00DF3CAF">
              <w:rPr>
                <w:noProof/>
                <w:webHidden/>
              </w:rPr>
              <w:tab/>
            </w:r>
            <w:r w:rsidR="00DF3CAF">
              <w:rPr>
                <w:noProof/>
                <w:webHidden/>
              </w:rPr>
              <w:fldChar w:fldCharType="begin"/>
            </w:r>
            <w:r w:rsidR="00DF3CAF">
              <w:rPr>
                <w:noProof/>
                <w:webHidden/>
              </w:rPr>
              <w:instrText xml:space="preserve"> PAGEREF _Toc41427167 \h </w:instrText>
            </w:r>
            <w:r w:rsidR="00DF3CAF">
              <w:rPr>
                <w:noProof/>
                <w:webHidden/>
              </w:rPr>
            </w:r>
            <w:r w:rsidR="00DF3CAF">
              <w:rPr>
                <w:noProof/>
                <w:webHidden/>
              </w:rPr>
              <w:fldChar w:fldCharType="separate"/>
            </w:r>
            <w:r w:rsidR="00DF3CAF">
              <w:rPr>
                <w:noProof/>
                <w:webHidden/>
              </w:rPr>
              <w:t>25</w:t>
            </w:r>
            <w:r w:rsidR="00DF3CAF">
              <w:rPr>
                <w:noProof/>
                <w:webHidden/>
              </w:rPr>
              <w:fldChar w:fldCharType="end"/>
            </w:r>
          </w:hyperlink>
        </w:p>
        <w:p w14:paraId="1801B716" w14:textId="22B710FD" w:rsidR="00DF3CAF" w:rsidRDefault="005676C9">
          <w:pPr>
            <w:pStyle w:val="TOC3"/>
            <w:tabs>
              <w:tab w:val="right" w:pos="9350"/>
            </w:tabs>
            <w:rPr>
              <w:noProof/>
              <w:sz w:val="22"/>
              <w:szCs w:val="22"/>
              <w:lang w:val="fi-FI" w:eastAsia="fi-FI"/>
            </w:rPr>
          </w:pPr>
          <w:hyperlink w:anchor="_Toc41427168" w:history="1">
            <w:r w:rsidR="00DF3CAF" w:rsidRPr="00D73A71">
              <w:rPr>
                <w:rStyle w:val="Hyperlink"/>
                <w:noProof/>
              </w:rPr>
              <w:t>5.3.1. Sterility Assurance Level (SAL)</w:t>
            </w:r>
            <w:r w:rsidR="00DF3CAF">
              <w:rPr>
                <w:noProof/>
                <w:webHidden/>
              </w:rPr>
              <w:tab/>
            </w:r>
            <w:r w:rsidR="00DF3CAF">
              <w:rPr>
                <w:noProof/>
                <w:webHidden/>
              </w:rPr>
              <w:fldChar w:fldCharType="begin"/>
            </w:r>
            <w:r w:rsidR="00DF3CAF">
              <w:rPr>
                <w:noProof/>
                <w:webHidden/>
              </w:rPr>
              <w:instrText xml:space="preserve"> PAGEREF _Toc41427168 \h </w:instrText>
            </w:r>
            <w:r w:rsidR="00DF3CAF">
              <w:rPr>
                <w:noProof/>
                <w:webHidden/>
              </w:rPr>
            </w:r>
            <w:r w:rsidR="00DF3CAF">
              <w:rPr>
                <w:noProof/>
                <w:webHidden/>
              </w:rPr>
              <w:fldChar w:fldCharType="separate"/>
            </w:r>
            <w:r w:rsidR="00DF3CAF">
              <w:rPr>
                <w:noProof/>
                <w:webHidden/>
              </w:rPr>
              <w:t>25</w:t>
            </w:r>
            <w:r w:rsidR="00DF3CAF">
              <w:rPr>
                <w:noProof/>
                <w:webHidden/>
              </w:rPr>
              <w:fldChar w:fldCharType="end"/>
            </w:r>
          </w:hyperlink>
        </w:p>
        <w:p w14:paraId="14D981F7" w14:textId="799D4A1F" w:rsidR="00DF3CAF" w:rsidRDefault="005676C9">
          <w:pPr>
            <w:pStyle w:val="TOC3"/>
            <w:tabs>
              <w:tab w:val="right" w:pos="9350"/>
            </w:tabs>
            <w:rPr>
              <w:noProof/>
              <w:sz w:val="22"/>
              <w:szCs w:val="22"/>
              <w:lang w:val="fi-FI" w:eastAsia="fi-FI"/>
            </w:rPr>
          </w:pPr>
          <w:hyperlink w:anchor="_Toc41427169" w:history="1">
            <w:r w:rsidR="00DF3CAF" w:rsidRPr="00D73A71">
              <w:rPr>
                <w:rStyle w:val="Hyperlink"/>
                <w:noProof/>
              </w:rPr>
              <w:t>5.3.2. Biological indicators</w:t>
            </w:r>
            <w:r w:rsidR="00DF3CAF">
              <w:rPr>
                <w:noProof/>
                <w:webHidden/>
              </w:rPr>
              <w:tab/>
            </w:r>
            <w:r w:rsidR="00DF3CAF">
              <w:rPr>
                <w:noProof/>
                <w:webHidden/>
              </w:rPr>
              <w:fldChar w:fldCharType="begin"/>
            </w:r>
            <w:r w:rsidR="00DF3CAF">
              <w:rPr>
                <w:noProof/>
                <w:webHidden/>
              </w:rPr>
              <w:instrText xml:space="preserve"> PAGEREF _Toc41427169 \h </w:instrText>
            </w:r>
            <w:r w:rsidR="00DF3CAF">
              <w:rPr>
                <w:noProof/>
                <w:webHidden/>
              </w:rPr>
            </w:r>
            <w:r w:rsidR="00DF3CAF">
              <w:rPr>
                <w:noProof/>
                <w:webHidden/>
              </w:rPr>
              <w:fldChar w:fldCharType="separate"/>
            </w:r>
            <w:r w:rsidR="00DF3CAF">
              <w:rPr>
                <w:noProof/>
                <w:webHidden/>
              </w:rPr>
              <w:t>25</w:t>
            </w:r>
            <w:r w:rsidR="00DF3CAF">
              <w:rPr>
                <w:noProof/>
                <w:webHidden/>
              </w:rPr>
              <w:fldChar w:fldCharType="end"/>
            </w:r>
          </w:hyperlink>
        </w:p>
        <w:p w14:paraId="775B9254" w14:textId="26F78CA7" w:rsidR="00DF3CAF" w:rsidRDefault="005676C9">
          <w:pPr>
            <w:pStyle w:val="TOC2"/>
            <w:tabs>
              <w:tab w:val="left" w:pos="880"/>
              <w:tab w:val="right" w:pos="9350"/>
            </w:tabs>
            <w:rPr>
              <w:noProof/>
              <w:sz w:val="22"/>
              <w:szCs w:val="22"/>
              <w:lang w:val="fi-FI" w:eastAsia="fi-FI"/>
            </w:rPr>
          </w:pPr>
          <w:hyperlink w:anchor="_Toc41427170" w:history="1">
            <w:r w:rsidR="00DF3CAF" w:rsidRPr="00D73A71">
              <w:rPr>
                <w:rStyle w:val="Hyperlink"/>
                <w:noProof/>
              </w:rPr>
              <w:t>5.4.</w:t>
            </w:r>
            <w:r w:rsidR="00DF3CAF">
              <w:rPr>
                <w:noProof/>
                <w:sz w:val="22"/>
                <w:szCs w:val="22"/>
                <w:lang w:val="fi-FI" w:eastAsia="fi-FI"/>
              </w:rPr>
              <w:tab/>
            </w:r>
            <w:r w:rsidR="00DF3CAF" w:rsidRPr="00D73A71">
              <w:rPr>
                <w:rStyle w:val="Hyperlink"/>
                <w:noProof/>
              </w:rPr>
              <w:t>Specific validation criteria for sterilisation methods</w:t>
            </w:r>
            <w:r w:rsidR="00DF3CAF">
              <w:rPr>
                <w:noProof/>
                <w:webHidden/>
              </w:rPr>
              <w:tab/>
            </w:r>
            <w:r w:rsidR="00DF3CAF">
              <w:rPr>
                <w:noProof/>
                <w:webHidden/>
              </w:rPr>
              <w:fldChar w:fldCharType="begin"/>
            </w:r>
            <w:r w:rsidR="00DF3CAF">
              <w:rPr>
                <w:noProof/>
                <w:webHidden/>
              </w:rPr>
              <w:instrText xml:space="preserve"> PAGEREF _Toc41427170 \h </w:instrText>
            </w:r>
            <w:r w:rsidR="00DF3CAF">
              <w:rPr>
                <w:noProof/>
                <w:webHidden/>
              </w:rPr>
            </w:r>
            <w:r w:rsidR="00DF3CAF">
              <w:rPr>
                <w:noProof/>
                <w:webHidden/>
              </w:rPr>
              <w:fldChar w:fldCharType="separate"/>
            </w:r>
            <w:r w:rsidR="00DF3CAF">
              <w:rPr>
                <w:noProof/>
                <w:webHidden/>
              </w:rPr>
              <w:t>26</w:t>
            </w:r>
            <w:r w:rsidR="00DF3CAF">
              <w:rPr>
                <w:noProof/>
                <w:webHidden/>
              </w:rPr>
              <w:fldChar w:fldCharType="end"/>
            </w:r>
          </w:hyperlink>
        </w:p>
        <w:p w14:paraId="0F09AA2A" w14:textId="19A2745C" w:rsidR="00DF3CAF" w:rsidRDefault="005676C9">
          <w:pPr>
            <w:pStyle w:val="TOC3"/>
            <w:tabs>
              <w:tab w:val="right" w:pos="9350"/>
            </w:tabs>
            <w:rPr>
              <w:noProof/>
              <w:sz w:val="22"/>
              <w:szCs w:val="22"/>
              <w:lang w:val="fi-FI" w:eastAsia="fi-FI"/>
            </w:rPr>
          </w:pPr>
          <w:hyperlink w:anchor="_Toc41427171" w:history="1">
            <w:r w:rsidR="00DF3CAF" w:rsidRPr="00D73A71">
              <w:rPr>
                <w:rStyle w:val="Hyperlink"/>
                <w:noProof/>
              </w:rPr>
              <w:t>5.4.1. Steam sterilisation (Autoclaving)</w:t>
            </w:r>
            <w:r w:rsidR="00DF3CAF">
              <w:rPr>
                <w:noProof/>
                <w:webHidden/>
              </w:rPr>
              <w:tab/>
            </w:r>
            <w:r w:rsidR="00DF3CAF">
              <w:rPr>
                <w:noProof/>
                <w:webHidden/>
              </w:rPr>
              <w:fldChar w:fldCharType="begin"/>
            </w:r>
            <w:r w:rsidR="00DF3CAF">
              <w:rPr>
                <w:noProof/>
                <w:webHidden/>
              </w:rPr>
              <w:instrText xml:space="preserve"> PAGEREF _Toc41427171 \h </w:instrText>
            </w:r>
            <w:r w:rsidR="00DF3CAF">
              <w:rPr>
                <w:noProof/>
                <w:webHidden/>
              </w:rPr>
            </w:r>
            <w:r w:rsidR="00DF3CAF">
              <w:rPr>
                <w:noProof/>
                <w:webHidden/>
              </w:rPr>
              <w:fldChar w:fldCharType="separate"/>
            </w:r>
            <w:r w:rsidR="00DF3CAF">
              <w:rPr>
                <w:noProof/>
                <w:webHidden/>
              </w:rPr>
              <w:t>26</w:t>
            </w:r>
            <w:r w:rsidR="00DF3CAF">
              <w:rPr>
                <w:noProof/>
                <w:webHidden/>
              </w:rPr>
              <w:fldChar w:fldCharType="end"/>
            </w:r>
          </w:hyperlink>
        </w:p>
        <w:p w14:paraId="00D1B44D" w14:textId="78DBE732" w:rsidR="00DF3CAF" w:rsidRDefault="005676C9">
          <w:pPr>
            <w:pStyle w:val="TOC3"/>
            <w:tabs>
              <w:tab w:val="right" w:pos="9350"/>
            </w:tabs>
            <w:rPr>
              <w:noProof/>
              <w:sz w:val="22"/>
              <w:szCs w:val="22"/>
              <w:lang w:val="fi-FI" w:eastAsia="fi-FI"/>
            </w:rPr>
          </w:pPr>
          <w:hyperlink w:anchor="_Toc41427172" w:history="1">
            <w:r w:rsidR="00DF3CAF" w:rsidRPr="00D73A71">
              <w:rPr>
                <w:rStyle w:val="Hyperlink"/>
                <w:noProof/>
              </w:rPr>
              <w:t>5.4.2. Dry heat</w:t>
            </w:r>
            <w:r w:rsidR="00DF3CAF">
              <w:rPr>
                <w:noProof/>
                <w:webHidden/>
              </w:rPr>
              <w:tab/>
            </w:r>
            <w:r w:rsidR="00DF3CAF">
              <w:rPr>
                <w:noProof/>
                <w:webHidden/>
              </w:rPr>
              <w:fldChar w:fldCharType="begin"/>
            </w:r>
            <w:r w:rsidR="00DF3CAF">
              <w:rPr>
                <w:noProof/>
                <w:webHidden/>
              </w:rPr>
              <w:instrText xml:space="preserve"> PAGEREF _Toc41427172 \h </w:instrText>
            </w:r>
            <w:r w:rsidR="00DF3CAF">
              <w:rPr>
                <w:noProof/>
                <w:webHidden/>
              </w:rPr>
            </w:r>
            <w:r w:rsidR="00DF3CAF">
              <w:rPr>
                <w:noProof/>
                <w:webHidden/>
              </w:rPr>
              <w:fldChar w:fldCharType="separate"/>
            </w:r>
            <w:r w:rsidR="00DF3CAF">
              <w:rPr>
                <w:noProof/>
                <w:webHidden/>
              </w:rPr>
              <w:t>27</w:t>
            </w:r>
            <w:r w:rsidR="00DF3CAF">
              <w:rPr>
                <w:noProof/>
                <w:webHidden/>
              </w:rPr>
              <w:fldChar w:fldCharType="end"/>
            </w:r>
          </w:hyperlink>
        </w:p>
        <w:p w14:paraId="07FE9371" w14:textId="1E09311B" w:rsidR="00DF3CAF" w:rsidRDefault="005676C9">
          <w:pPr>
            <w:pStyle w:val="TOC3"/>
            <w:tabs>
              <w:tab w:val="right" w:pos="9350"/>
            </w:tabs>
            <w:rPr>
              <w:noProof/>
              <w:sz w:val="22"/>
              <w:szCs w:val="22"/>
              <w:lang w:val="fi-FI" w:eastAsia="fi-FI"/>
            </w:rPr>
          </w:pPr>
          <w:hyperlink w:anchor="_Toc41427173" w:history="1">
            <w:r w:rsidR="00DF3CAF" w:rsidRPr="00D73A71">
              <w:rPr>
                <w:rStyle w:val="Hyperlink"/>
                <w:noProof/>
              </w:rPr>
              <w:t>5.4.3. Irradiation</w:t>
            </w:r>
            <w:r w:rsidR="00DF3CAF">
              <w:rPr>
                <w:noProof/>
                <w:webHidden/>
              </w:rPr>
              <w:tab/>
            </w:r>
            <w:r w:rsidR="00DF3CAF">
              <w:rPr>
                <w:noProof/>
                <w:webHidden/>
              </w:rPr>
              <w:fldChar w:fldCharType="begin"/>
            </w:r>
            <w:r w:rsidR="00DF3CAF">
              <w:rPr>
                <w:noProof/>
                <w:webHidden/>
              </w:rPr>
              <w:instrText xml:space="preserve"> PAGEREF _Toc41427173 \h </w:instrText>
            </w:r>
            <w:r w:rsidR="00DF3CAF">
              <w:rPr>
                <w:noProof/>
                <w:webHidden/>
              </w:rPr>
            </w:r>
            <w:r w:rsidR="00DF3CAF">
              <w:rPr>
                <w:noProof/>
                <w:webHidden/>
              </w:rPr>
              <w:fldChar w:fldCharType="separate"/>
            </w:r>
            <w:r w:rsidR="00DF3CAF">
              <w:rPr>
                <w:noProof/>
                <w:webHidden/>
              </w:rPr>
              <w:t>27</w:t>
            </w:r>
            <w:r w:rsidR="00DF3CAF">
              <w:rPr>
                <w:noProof/>
                <w:webHidden/>
              </w:rPr>
              <w:fldChar w:fldCharType="end"/>
            </w:r>
          </w:hyperlink>
        </w:p>
        <w:p w14:paraId="4C6B02A2" w14:textId="3C353D46" w:rsidR="00DF3CAF" w:rsidRDefault="005676C9">
          <w:pPr>
            <w:pStyle w:val="TOC3"/>
            <w:tabs>
              <w:tab w:val="right" w:pos="9350"/>
            </w:tabs>
            <w:rPr>
              <w:noProof/>
              <w:sz w:val="22"/>
              <w:szCs w:val="22"/>
              <w:lang w:val="fi-FI" w:eastAsia="fi-FI"/>
            </w:rPr>
          </w:pPr>
          <w:hyperlink w:anchor="_Toc41427174" w:history="1">
            <w:r w:rsidR="00DF3CAF" w:rsidRPr="00D73A71">
              <w:rPr>
                <w:rStyle w:val="Hyperlink"/>
                <w:noProof/>
              </w:rPr>
              <w:t>5.4.4. Gas sterilisation</w:t>
            </w:r>
            <w:r w:rsidR="00DF3CAF">
              <w:rPr>
                <w:noProof/>
                <w:webHidden/>
              </w:rPr>
              <w:tab/>
            </w:r>
            <w:r w:rsidR="00DF3CAF">
              <w:rPr>
                <w:noProof/>
                <w:webHidden/>
              </w:rPr>
              <w:fldChar w:fldCharType="begin"/>
            </w:r>
            <w:r w:rsidR="00DF3CAF">
              <w:rPr>
                <w:noProof/>
                <w:webHidden/>
              </w:rPr>
              <w:instrText xml:space="preserve"> PAGEREF _Toc41427174 \h </w:instrText>
            </w:r>
            <w:r w:rsidR="00DF3CAF">
              <w:rPr>
                <w:noProof/>
                <w:webHidden/>
              </w:rPr>
            </w:r>
            <w:r w:rsidR="00DF3CAF">
              <w:rPr>
                <w:noProof/>
                <w:webHidden/>
              </w:rPr>
              <w:fldChar w:fldCharType="separate"/>
            </w:r>
            <w:r w:rsidR="00DF3CAF">
              <w:rPr>
                <w:noProof/>
                <w:webHidden/>
              </w:rPr>
              <w:t>27</w:t>
            </w:r>
            <w:r w:rsidR="00DF3CAF">
              <w:rPr>
                <w:noProof/>
                <w:webHidden/>
              </w:rPr>
              <w:fldChar w:fldCharType="end"/>
            </w:r>
          </w:hyperlink>
        </w:p>
        <w:p w14:paraId="4050E91D" w14:textId="1769DDC2" w:rsidR="00DF3CAF" w:rsidRDefault="005676C9">
          <w:pPr>
            <w:pStyle w:val="TOC3"/>
            <w:tabs>
              <w:tab w:val="right" w:pos="9350"/>
            </w:tabs>
            <w:rPr>
              <w:noProof/>
              <w:sz w:val="22"/>
              <w:szCs w:val="22"/>
              <w:lang w:val="fi-FI" w:eastAsia="fi-FI"/>
            </w:rPr>
          </w:pPr>
          <w:hyperlink w:anchor="_Toc41427175" w:history="1">
            <w:r w:rsidR="00DF3CAF" w:rsidRPr="00D73A71">
              <w:rPr>
                <w:rStyle w:val="Hyperlink"/>
                <w:noProof/>
              </w:rPr>
              <w:t>5.4.5. Filtration</w:t>
            </w:r>
            <w:r w:rsidR="00DF3CAF">
              <w:rPr>
                <w:noProof/>
                <w:webHidden/>
              </w:rPr>
              <w:tab/>
            </w:r>
            <w:r w:rsidR="00DF3CAF">
              <w:rPr>
                <w:noProof/>
                <w:webHidden/>
              </w:rPr>
              <w:fldChar w:fldCharType="begin"/>
            </w:r>
            <w:r w:rsidR="00DF3CAF">
              <w:rPr>
                <w:noProof/>
                <w:webHidden/>
              </w:rPr>
              <w:instrText xml:space="preserve"> PAGEREF _Toc41427175 \h </w:instrText>
            </w:r>
            <w:r w:rsidR="00DF3CAF">
              <w:rPr>
                <w:noProof/>
                <w:webHidden/>
              </w:rPr>
            </w:r>
            <w:r w:rsidR="00DF3CAF">
              <w:rPr>
                <w:noProof/>
                <w:webHidden/>
              </w:rPr>
              <w:fldChar w:fldCharType="separate"/>
            </w:r>
            <w:r w:rsidR="00DF3CAF">
              <w:rPr>
                <w:noProof/>
                <w:webHidden/>
              </w:rPr>
              <w:t>28</w:t>
            </w:r>
            <w:r w:rsidR="00DF3CAF">
              <w:rPr>
                <w:noProof/>
                <w:webHidden/>
              </w:rPr>
              <w:fldChar w:fldCharType="end"/>
            </w:r>
          </w:hyperlink>
        </w:p>
        <w:p w14:paraId="7B0BE109" w14:textId="2E4098B5" w:rsidR="00DF3CAF" w:rsidRDefault="005676C9">
          <w:pPr>
            <w:pStyle w:val="TOC2"/>
            <w:tabs>
              <w:tab w:val="left" w:pos="880"/>
              <w:tab w:val="right" w:pos="9350"/>
            </w:tabs>
            <w:rPr>
              <w:noProof/>
              <w:sz w:val="22"/>
              <w:szCs w:val="22"/>
              <w:lang w:val="fi-FI" w:eastAsia="fi-FI"/>
            </w:rPr>
          </w:pPr>
          <w:hyperlink w:anchor="_Toc41427176" w:history="1">
            <w:r w:rsidR="00DF3CAF" w:rsidRPr="00D73A71">
              <w:rPr>
                <w:rStyle w:val="Hyperlink"/>
                <w:noProof/>
              </w:rPr>
              <w:t>5.5.</w:t>
            </w:r>
            <w:r w:rsidR="00DF3CAF">
              <w:rPr>
                <w:noProof/>
                <w:sz w:val="22"/>
                <w:szCs w:val="22"/>
                <w:lang w:val="fi-FI" w:eastAsia="fi-FI"/>
              </w:rPr>
              <w:tab/>
            </w:r>
            <w:r w:rsidR="00DF3CAF" w:rsidRPr="00D73A71">
              <w:rPr>
                <w:rStyle w:val="Hyperlink"/>
                <w:noProof/>
              </w:rPr>
              <w:t>Information on sterilisation validation</w:t>
            </w:r>
            <w:r w:rsidR="00DF3CAF">
              <w:rPr>
                <w:noProof/>
                <w:webHidden/>
              </w:rPr>
              <w:tab/>
            </w:r>
            <w:r w:rsidR="00DF3CAF">
              <w:rPr>
                <w:noProof/>
                <w:webHidden/>
              </w:rPr>
              <w:fldChar w:fldCharType="begin"/>
            </w:r>
            <w:r w:rsidR="00DF3CAF">
              <w:rPr>
                <w:noProof/>
                <w:webHidden/>
              </w:rPr>
              <w:instrText xml:space="preserve"> PAGEREF _Toc41427176 \h </w:instrText>
            </w:r>
            <w:r w:rsidR="00DF3CAF">
              <w:rPr>
                <w:noProof/>
                <w:webHidden/>
              </w:rPr>
            </w:r>
            <w:r w:rsidR="00DF3CAF">
              <w:rPr>
                <w:noProof/>
                <w:webHidden/>
              </w:rPr>
              <w:fldChar w:fldCharType="separate"/>
            </w:r>
            <w:r w:rsidR="00DF3CAF">
              <w:rPr>
                <w:noProof/>
                <w:webHidden/>
              </w:rPr>
              <w:t>28</w:t>
            </w:r>
            <w:r w:rsidR="00DF3CAF">
              <w:rPr>
                <w:noProof/>
                <w:webHidden/>
              </w:rPr>
              <w:fldChar w:fldCharType="end"/>
            </w:r>
          </w:hyperlink>
        </w:p>
        <w:p w14:paraId="11C51EDE" w14:textId="4BE285DE" w:rsidR="00DF3CAF" w:rsidRDefault="005676C9">
          <w:pPr>
            <w:pStyle w:val="TOC2"/>
            <w:tabs>
              <w:tab w:val="left" w:pos="880"/>
              <w:tab w:val="right" w:pos="9350"/>
            </w:tabs>
            <w:rPr>
              <w:noProof/>
              <w:sz w:val="22"/>
              <w:szCs w:val="22"/>
              <w:lang w:val="fi-FI" w:eastAsia="fi-FI"/>
            </w:rPr>
          </w:pPr>
          <w:hyperlink w:anchor="_Toc41427177" w:history="1">
            <w:r w:rsidR="00DF3CAF" w:rsidRPr="00D73A71">
              <w:rPr>
                <w:rStyle w:val="Hyperlink"/>
                <w:noProof/>
              </w:rPr>
              <w:t>5.6.</w:t>
            </w:r>
            <w:r w:rsidR="00DF3CAF">
              <w:rPr>
                <w:noProof/>
                <w:sz w:val="22"/>
                <w:szCs w:val="22"/>
                <w:lang w:val="fi-FI" w:eastAsia="fi-FI"/>
              </w:rPr>
              <w:tab/>
            </w:r>
            <w:r w:rsidR="00DF3CAF" w:rsidRPr="00D73A71">
              <w:rPr>
                <w:rStyle w:val="Hyperlink"/>
                <w:noProof/>
              </w:rPr>
              <w:t>Effect of sterilisation on tissue quality</w:t>
            </w:r>
            <w:r w:rsidR="00DF3CAF">
              <w:rPr>
                <w:noProof/>
                <w:webHidden/>
              </w:rPr>
              <w:tab/>
            </w:r>
            <w:r w:rsidR="00DF3CAF">
              <w:rPr>
                <w:noProof/>
                <w:webHidden/>
              </w:rPr>
              <w:fldChar w:fldCharType="begin"/>
            </w:r>
            <w:r w:rsidR="00DF3CAF">
              <w:rPr>
                <w:noProof/>
                <w:webHidden/>
              </w:rPr>
              <w:instrText xml:space="preserve"> PAGEREF _Toc41427177 \h </w:instrText>
            </w:r>
            <w:r w:rsidR="00DF3CAF">
              <w:rPr>
                <w:noProof/>
                <w:webHidden/>
              </w:rPr>
            </w:r>
            <w:r w:rsidR="00DF3CAF">
              <w:rPr>
                <w:noProof/>
                <w:webHidden/>
              </w:rPr>
              <w:fldChar w:fldCharType="separate"/>
            </w:r>
            <w:r w:rsidR="00DF3CAF">
              <w:rPr>
                <w:noProof/>
                <w:webHidden/>
              </w:rPr>
              <w:t>29</w:t>
            </w:r>
            <w:r w:rsidR="00DF3CAF">
              <w:rPr>
                <w:noProof/>
                <w:webHidden/>
              </w:rPr>
              <w:fldChar w:fldCharType="end"/>
            </w:r>
          </w:hyperlink>
        </w:p>
        <w:p w14:paraId="523DE338" w14:textId="6F678197" w:rsidR="00DF3CAF" w:rsidRDefault="005676C9">
          <w:pPr>
            <w:pStyle w:val="TOC1"/>
            <w:tabs>
              <w:tab w:val="left" w:pos="420"/>
              <w:tab w:val="right" w:pos="9350"/>
            </w:tabs>
            <w:rPr>
              <w:noProof/>
              <w:sz w:val="22"/>
              <w:szCs w:val="22"/>
              <w:lang w:val="fi-FI" w:eastAsia="fi-FI"/>
            </w:rPr>
          </w:pPr>
          <w:hyperlink w:anchor="_Toc41427178" w:history="1">
            <w:r w:rsidR="00DF3CAF" w:rsidRPr="00D73A71">
              <w:rPr>
                <w:rStyle w:val="Hyperlink"/>
                <w:noProof/>
              </w:rPr>
              <w:t>6.</w:t>
            </w:r>
            <w:r w:rsidR="00DF3CAF">
              <w:rPr>
                <w:noProof/>
                <w:sz w:val="22"/>
                <w:szCs w:val="22"/>
                <w:lang w:val="fi-FI" w:eastAsia="fi-FI"/>
              </w:rPr>
              <w:tab/>
            </w:r>
            <w:r w:rsidR="00DF3CAF" w:rsidRPr="00D73A71">
              <w:rPr>
                <w:rStyle w:val="Hyperlink"/>
                <w:noProof/>
              </w:rPr>
              <w:t>Requirements and criteria for microbiological quality of the final BTC product</w:t>
            </w:r>
            <w:r w:rsidR="00DF3CAF">
              <w:rPr>
                <w:noProof/>
                <w:webHidden/>
              </w:rPr>
              <w:tab/>
            </w:r>
            <w:r w:rsidR="00DF3CAF">
              <w:rPr>
                <w:noProof/>
                <w:webHidden/>
              </w:rPr>
              <w:fldChar w:fldCharType="begin"/>
            </w:r>
            <w:r w:rsidR="00DF3CAF">
              <w:rPr>
                <w:noProof/>
                <w:webHidden/>
              </w:rPr>
              <w:instrText xml:space="preserve"> PAGEREF _Toc41427178 \h </w:instrText>
            </w:r>
            <w:r w:rsidR="00DF3CAF">
              <w:rPr>
                <w:noProof/>
                <w:webHidden/>
              </w:rPr>
            </w:r>
            <w:r w:rsidR="00DF3CAF">
              <w:rPr>
                <w:noProof/>
                <w:webHidden/>
              </w:rPr>
              <w:fldChar w:fldCharType="separate"/>
            </w:r>
            <w:r w:rsidR="00DF3CAF">
              <w:rPr>
                <w:noProof/>
                <w:webHidden/>
              </w:rPr>
              <w:t>29</w:t>
            </w:r>
            <w:r w:rsidR="00DF3CAF">
              <w:rPr>
                <w:noProof/>
                <w:webHidden/>
              </w:rPr>
              <w:fldChar w:fldCharType="end"/>
            </w:r>
          </w:hyperlink>
        </w:p>
        <w:p w14:paraId="2B42BA81" w14:textId="64070813" w:rsidR="00DF3CAF" w:rsidRDefault="005676C9">
          <w:pPr>
            <w:pStyle w:val="TOC2"/>
            <w:tabs>
              <w:tab w:val="left" w:pos="880"/>
              <w:tab w:val="right" w:pos="9350"/>
            </w:tabs>
            <w:rPr>
              <w:noProof/>
              <w:sz w:val="22"/>
              <w:szCs w:val="22"/>
              <w:lang w:val="fi-FI" w:eastAsia="fi-FI"/>
            </w:rPr>
          </w:pPr>
          <w:hyperlink w:anchor="_Toc41427179" w:history="1">
            <w:r w:rsidR="00DF3CAF" w:rsidRPr="00D73A71">
              <w:rPr>
                <w:rStyle w:val="Hyperlink"/>
                <w:noProof/>
              </w:rPr>
              <w:t>6.1.</w:t>
            </w:r>
            <w:r w:rsidR="00DF3CAF">
              <w:rPr>
                <w:noProof/>
                <w:sz w:val="22"/>
                <w:szCs w:val="22"/>
                <w:lang w:val="fi-FI" w:eastAsia="fi-FI"/>
              </w:rPr>
              <w:tab/>
            </w:r>
            <w:r w:rsidR="00DF3CAF" w:rsidRPr="00D73A71">
              <w:rPr>
                <w:rStyle w:val="Hyperlink"/>
                <w:noProof/>
              </w:rPr>
              <w:t>Common requirements applicable to all BTC</w:t>
            </w:r>
            <w:r w:rsidR="00DF3CAF">
              <w:rPr>
                <w:noProof/>
                <w:webHidden/>
              </w:rPr>
              <w:tab/>
            </w:r>
            <w:r w:rsidR="00DF3CAF">
              <w:rPr>
                <w:noProof/>
                <w:webHidden/>
              </w:rPr>
              <w:fldChar w:fldCharType="begin"/>
            </w:r>
            <w:r w:rsidR="00DF3CAF">
              <w:rPr>
                <w:noProof/>
                <w:webHidden/>
              </w:rPr>
              <w:instrText xml:space="preserve"> PAGEREF _Toc41427179 \h </w:instrText>
            </w:r>
            <w:r w:rsidR="00DF3CAF">
              <w:rPr>
                <w:noProof/>
                <w:webHidden/>
              </w:rPr>
            </w:r>
            <w:r w:rsidR="00DF3CAF">
              <w:rPr>
                <w:noProof/>
                <w:webHidden/>
              </w:rPr>
              <w:fldChar w:fldCharType="separate"/>
            </w:r>
            <w:r w:rsidR="00DF3CAF">
              <w:rPr>
                <w:noProof/>
                <w:webHidden/>
              </w:rPr>
              <w:t>30</w:t>
            </w:r>
            <w:r w:rsidR="00DF3CAF">
              <w:rPr>
                <w:noProof/>
                <w:webHidden/>
              </w:rPr>
              <w:fldChar w:fldCharType="end"/>
            </w:r>
          </w:hyperlink>
        </w:p>
        <w:p w14:paraId="39F9B491" w14:textId="564458D5" w:rsidR="00DF3CAF" w:rsidRDefault="005676C9">
          <w:pPr>
            <w:pStyle w:val="TOC2"/>
            <w:tabs>
              <w:tab w:val="left" w:pos="880"/>
              <w:tab w:val="right" w:pos="9350"/>
            </w:tabs>
            <w:rPr>
              <w:noProof/>
              <w:sz w:val="22"/>
              <w:szCs w:val="22"/>
              <w:lang w:val="fi-FI" w:eastAsia="fi-FI"/>
            </w:rPr>
          </w:pPr>
          <w:hyperlink w:anchor="_Toc41427180" w:history="1">
            <w:r w:rsidR="00DF3CAF" w:rsidRPr="00D73A71">
              <w:rPr>
                <w:rStyle w:val="Hyperlink"/>
                <w:noProof/>
              </w:rPr>
              <w:t>6.2.</w:t>
            </w:r>
            <w:r w:rsidR="00DF3CAF">
              <w:rPr>
                <w:noProof/>
                <w:sz w:val="22"/>
                <w:szCs w:val="22"/>
                <w:lang w:val="fi-FI" w:eastAsia="fi-FI"/>
              </w:rPr>
              <w:tab/>
            </w:r>
            <w:r w:rsidR="00DF3CAF" w:rsidRPr="00D73A71">
              <w:rPr>
                <w:rStyle w:val="Hyperlink"/>
                <w:noProof/>
              </w:rPr>
              <w:t>Specific requirements and criteria depending on the type of BTC processing</w:t>
            </w:r>
            <w:r w:rsidR="00DF3CAF">
              <w:rPr>
                <w:noProof/>
                <w:webHidden/>
              </w:rPr>
              <w:tab/>
            </w:r>
            <w:r w:rsidR="00DF3CAF">
              <w:rPr>
                <w:noProof/>
                <w:webHidden/>
              </w:rPr>
              <w:fldChar w:fldCharType="begin"/>
            </w:r>
            <w:r w:rsidR="00DF3CAF">
              <w:rPr>
                <w:noProof/>
                <w:webHidden/>
              </w:rPr>
              <w:instrText xml:space="preserve"> PAGEREF _Toc41427180 \h </w:instrText>
            </w:r>
            <w:r w:rsidR="00DF3CAF">
              <w:rPr>
                <w:noProof/>
                <w:webHidden/>
              </w:rPr>
            </w:r>
            <w:r w:rsidR="00DF3CAF">
              <w:rPr>
                <w:noProof/>
                <w:webHidden/>
              </w:rPr>
              <w:fldChar w:fldCharType="separate"/>
            </w:r>
            <w:r w:rsidR="00DF3CAF">
              <w:rPr>
                <w:noProof/>
                <w:webHidden/>
              </w:rPr>
              <w:t>33</w:t>
            </w:r>
            <w:r w:rsidR="00DF3CAF">
              <w:rPr>
                <w:noProof/>
                <w:webHidden/>
              </w:rPr>
              <w:fldChar w:fldCharType="end"/>
            </w:r>
          </w:hyperlink>
        </w:p>
        <w:p w14:paraId="3B90E004" w14:textId="6D49F437" w:rsidR="00DF3CAF" w:rsidRDefault="005676C9">
          <w:pPr>
            <w:pStyle w:val="TOC3"/>
            <w:tabs>
              <w:tab w:val="right" w:pos="9350"/>
            </w:tabs>
            <w:rPr>
              <w:noProof/>
              <w:sz w:val="22"/>
              <w:szCs w:val="22"/>
              <w:lang w:val="fi-FI" w:eastAsia="fi-FI"/>
            </w:rPr>
          </w:pPr>
          <w:hyperlink w:anchor="_Toc41427181" w:history="1">
            <w:r w:rsidR="00DF3CAF" w:rsidRPr="00D73A71">
              <w:rPr>
                <w:rStyle w:val="Hyperlink"/>
                <w:noProof/>
              </w:rPr>
              <w:t>6.2.1. BTC with processing in closed systems</w:t>
            </w:r>
            <w:r w:rsidR="00DF3CAF">
              <w:rPr>
                <w:noProof/>
                <w:webHidden/>
              </w:rPr>
              <w:tab/>
            </w:r>
            <w:r w:rsidR="00DF3CAF">
              <w:rPr>
                <w:noProof/>
                <w:webHidden/>
              </w:rPr>
              <w:fldChar w:fldCharType="begin"/>
            </w:r>
            <w:r w:rsidR="00DF3CAF">
              <w:rPr>
                <w:noProof/>
                <w:webHidden/>
              </w:rPr>
              <w:instrText xml:space="preserve"> PAGEREF _Toc41427181 \h </w:instrText>
            </w:r>
            <w:r w:rsidR="00DF3CAF">
              <w:rPr>
                <w:noProof/>
                <w:webHidden/>
              </w:rPr>
            </w:r>
            <w:r w:rsidR="00DF3CAF">
              <w:rPr>
                <w:noProof/>
                <w:webHidden/>
              </w:rPr>
              <w:fldChar w:fldCharType="separate"/>
            </w:r>
            <w:r w:rsidR="00DF3CAF">
              <w:rPr>
                <w:noProof/>
                <w:webHidden/>
              </w:rPr>
              <w:t>34</w:t>
            </w:r>
            <w:r w:rsidR="00DF3CAF">
              <w:rPr>
                <w:noProof/>
                <w:webHidden/>
              </w:rPr>
              <w:fldChar w:fldCharType="end"/>
            </w:r>
          </w:hyperlink>
        </w:p>
        <w:p w14:paraId="3FEEBBEA" w14:textId="2FAB131E" w:rsidR="00DF3CAF" w:rsidRDefault="005676C9">
          <w:pPr>
            <w:pStyle w:val="TOC3"/>
            <w:tabs>
              <w:tab w:val="right" w:pos="9350"/>
            </w:tabs>
            <w:rPr>
              <w:noProof/>
              <w:sz w:val="22"/>
              <w:szCs w:val="22"/>
              <w:lang w:val="fi-FI" w:eastAsia="fi-FI"/>
            </w:rPr>
          </w:pPr>
          <w:hyperlink w:anchor="_Toc41427182" w:history="1">
            <w:r w:rsidR="00DF3CAF" w:rsidRPr="00D73A71">
              <w:rPr>
                <w:rStyle w:val="Hyperlink"/>
                <w:noProof/>
                <w:lang w:val="en-GB"/>
              </w:rPr>
              <w:t xml:space="preserve">6.2.2. </w:t>
            </w:r>
            <w:r w:rsidR="00DF3CAF" w:rsidRPr="00D73A71">
              <w:rPr>
                <w:rStyle w:val="Hyperlink"/>
                <w:noProof/>
              </w:rPr>
              <w:t>BTC with processing in open systems</w:t>
            </w:r>
            <w:r w:rsidR="00DF3CAF">
              <w:rPr>
                <w:noProof/>
                <w:webHidden/>
              </w:rPr>
              <w:tab/>
            </w:r>
            <w:r w:rsidR="00DF3CAF">
              <w:rPr>
                <w:noProof/>
                <w:webHidden/>
              </w:rPr>
              <w:fldChar w:fldCharType="begin"/>
            </w:r>
            <w:r w:rsidR="00DF3CAF">
              <w:rPr>
                <w:noProof/>
                <w:webHidden/>
              </w:rPr>
              <w:instrText xml:space="preserve"> PAGEREF _Toc41427182 \h </w:instrText>
            </w:r>
            <w:r w:rsidR="00DF3CAF">
              <w:rPr>
                <w:noProof/>
                <w:webHidden/>
              </w:rPr>
            </w:r>
            <w:r w:rsidR="00DF3CAF">
              <w:rPr>
                <w:noProof/>
                <w:webHidden/>
              </w:rPr>
              <w:fldChar w:fldCharType="separate"/>
            </w:r>
            <w:r w:rsidR="00DF3CAF">
              <w:rPr>
                <w:noProof/>
                <w:webHidden/>
              </w:rPr>
              <w:t>35</w:t>
            </w:r>
            <w:r w:rsidR="00DF3CAF">
              <w:rPr>
                <w:noProof/>
                <w:webHidden/>
              </w:rPr>
              <w:fldChar w:fldCharType="end"/>
            </w:r>
          </w:hyperlink>
        </w:p>
        <w:p w14:paraId="44ABDE45" w14:textId="57FAE3A3" w:rsidR="00DF3CAF" w:rsidRDefault="005676C9">
          <w:pPr>
            <w:pStyle w:val="TOC1"/>
            <w:tabs>
              <w:tab w:val="left" w:pos="420"/>
              <w:tab w:val="right" w:pos="9350"/>
            </w:tabs>
            <w:rPr>
              <w:noProof/>
              <w:sz w:val="22"/>
              <w:szCs w:val="22"/>
              <w:lang w:val="fi-FI" w:eastAsia="fi-FI"/>
            </w:rPr>
          </w:pPr>
          <w:hyperlink w:anchor="_Toc41427183" w:history="1">
            <w:r w:rsidR="00DF3CAF" w:rsidRPr="00D73A71">
              <w:rPr>
                <w:rStyle w:val="Hyperlink"/>
                <w:noProof/>
              </w:rPr>
              <w:t>7.</w:t>
            </w:r>
            <w:r w:rsidR="00DF3CAF">
              <w:rPr>
                <w:noProof/>
                <w:sz w:val="22"/>
                <w:szCs w:val="22"/>
                <w:lang w:val="fi-FI" w:eastAsia="fi-FI"/>
              </w:rPr>
              <w:tab/>
            </w:r>
            <w:r w:rsidR="00DF3CAF" w:rsidRPr="00D73A71">
              <w:rPr>
                <w:rStyle w:val="Hyperlink"/>
                <w:noProof/>
              </w:rPr>
              <w:t>Final considerations</w:t>
            </w:r>
            <w:r w:rsidR="00DF3CAF">
              <w:rPr>
                <w:noProof/>
                <w:webHidden/>
              </w:rPr>
              <w:tab/>
            </w:r>
            <w:r w:rsidR="00DF3CAF">
              <w:rPr>
                <w:noProof/>
                <w:webHidden/>
              </w:rPr>
              <w:fldChar w:fldCharType="begin"/>
            </w:r>
            <w:r w:rsidR="00DF3CAF">
              <w:rPr>
                <w:noProof/>
                <w:webHidden/>
              </w:rPr>
              <w:instrText xml:space="preserve"> PAGEREF _Toc41427183 \h </w:instrText>
            </w:r>
            <w:r w:rsidR="00DF3CAF">
              <w:rPr>
                <w:noProof/>
                <w:webHidden/>
              </w:rPr>
            </w:r>
            <w:r w:rsidR="00DF3CAF">
              <w:rPr>
                <w:noProof/>
                <w:webHidden/>
              </w:rPr>
              <w:fldChar w:fldCharType="separate"/>
            </w:r>
            <w:r w:rsidR="00DF3CAF">
              <w:rPr>
                <w:noProof/>
                <w:webHidden/>
              </w:rPr>
              <w:t>36</w:t>
            </w:r>
            <w:r w:rsidR="00DF3CAF">
              <w:rPr>
                <w:noProof/>
                <w:webHidden/>
              </w:rPr>
              <w:fldChar w:fldCharType="end"/>
            </w:r>
          </w:hyperlink>
        </w:p>
        <w:p w14:paraId="107AC3E0" w14:textId="06522A16" w:rsidR="00DF3CAF" w:rsidRDefault="005676C9">
          <w:pPr>
            <w:pStyle w:val="TOC1"/>
            <w:tabs>
              <w:tab w:val="right" w:pos="9350"/>
            </w:tabs>
            <w:rPr>
              <w:noProof/>
              <w:sz w:val="22"/>
              <w:szCs w:val="22"/>
              <w:lang w:val="fi-FI" w:eastAsia="fi-FI"/>
            </w:rPr>
          </w:pPr>
          <w:hyperlink w:anchor="_Toc41427184" w:history="1">
            <w:r w:rsidR="00DF3CAF" w:rsidRPr="00D73A71">
              <w:rPr>
                <w:rStyle w:val="Hyperlink"/>
                <w:noProof/>
              </w:rPr>
              <w:t>Bibliography</w:t>
            </w:r>
            <w:r w:rsidR="00DF3CAF">
              <w:rPr>
                <w:noProof/>
                <w:webHidden/>
              </w:rPr>
              <w:tab/>
            </w:r>
            <w:r w:rsidR="00DF3CAF">
              <w:rPr>
                <w:noProof/>
                <w:webHidden/>
              </w:rPr>
              <w:fldChar w:fldCharType="begin"/>
            </w:r>
            <w:r w:rsidR="00DF3CAF">
              <w:rPr>
                <w:noProof/>
                <w:webHidden/>
              </w:rPr>
              <w:instrText xml:space="preserve"> PAGEREF _Toc41427184 \h </w:instrText>
            </w:r>
            <w:r w:rsidR="00DF3CAF">
              <w:rPr>
                <w:noProof/>
                <w:webHidden/>
              </w:rPr>
            </w:r>
            <w:r w:rsidR="00DF3CAF">
              <w:rPr>
                <w:noProof/>
                <w:webHidden/>
              </w:rPr>
              <w:fldChar w:fldCharType="separate"/>
            </w:r>
            <w:r w:rsidR="00DF3CAF">
              <w:rPr>
                <w:noProof/>
                <w:webHidden/>
              </w:rPr>
              <w:t>37</w:t>
            </w:r>
            <w:r w:rsidR="00DF3CAF">
              <w:rPr>
                <w:noProof/>
                <w:webHidden/>
              </w:rPr>
              <w:fldChar w:fldCharType="end"/>
            </w:r>
          </w:hyperlink>
        </w:p>
        <w:p w14:paraId="50B934CD" w14:textId="65BBBD61" w:rsidR="00DF3CAF" w:rsidRDefault="005676C9">
          <w:pPr>
            <w:pStyle w:val="TOC1"/>
            <w:tabs>
              <w:tab w:val="right" w:pos="9350"/>
            </w:tabs>
            <w:rPr>
              <w:noProof/>
              <w:sz w:val="22"/>
              <w:szCs w:val="22"/>
              <w:lang w:val="fi-FI" w:eastAsia="fi-FI"/>
            </w:rPr>
          </w:pPr>
          <w:hyperlink w:anchor="_Toc41427185" w:history="1">
            <w:r w:rsidR="00DF3CAF" w:rsidRPr="00D73A71">
              <w:rPr>
                <w:rStyle w:val="Hyperlink"/>
                <w:noProof/>
              </w:rPr>
              <w:t>Acronyms</w:t>
            </w:r>
            <w:r w:rsidR="00DF3CAF">
              <w:rPr>
                <w:noProof/>
                <w:webHidden/>
              </w:rPr>
              <w:tab/>
            </w:r>
            <w:r w:rsidR="00DF3CAF">
              <w:rPr>
                <w:noProof/>
                <w:webHidden/>
              </w:rPr>
              <w:fldChar w:fldCharType="begin"/>
            </w:r>
            <w:r w:rsidR="00DF3CAF">
              <w:rPr>
                <w:noProof/>
                <w:webHidden/>
              </w:rPr>
              <w:instrText xml:space="preserve"> PAGEREF _Toc41427185 \h </w:instrText>
            </w:r>
            <w:r w:rsidR="00DF3CAF">
              <w:rPr>
                <w:noProof/>
                <w:webHidden/>
              </w:rPr>
            </w:r>
            <w:r w:rsidR="00DF3CAF">
              <w:rPr>
                <w:noProof/>
                <w:webHidden/>
              </w:rPr>
              <w:fldChar w:fldCharType="separate"/>
            </w:r>
            <w:r w:rsidR="00DF3CAF">
              <w:rPr>
                <w:noProof/>
                <w:webHidden/>
              </w:rPr>
              <w:t>41</w:t>
            </w:r>
            <w:r w:rsidR="00DF3CAF">
              <w:rPr>
                <w:noProof/>
                <w:webHidden/>
              </w:rPr>
              <w:fldChar w:fldCharType="end"/>
            </w:r>
          </w:hyperlink>
        </w:p>
        <w:p w14:paraId="6C2B80CD" w14:textId="5C328B3B" w:rsidR="00DF3CAF" w:rsidRDefault="005676C9">
          <w:pPr>
            <w:pStyle w:val="TOC1"/>
            <w:tabs>
              <w:tab w:val="right" w:pos="9350"/>
            </w:tabs>
            <w:rPr>
              <w:noProof/>
              <w:sz w:val="22"/>
              <w:szCs w:val="22"/>
              <w:lang w:val="fi-FI" w:eastAsia="fi-FI"/>
            </w:rPr>
          </w:pPr>
          <w:hyperlink w:anchor="_Toc41427186" w:history="1">
            <w:r w:rsidR="00DF3CAF" w:rsidRPr="00D73A71">
              <w:rPr>
                <w:rStyle w:val="Hyperlink"/>
                <w:noProof/>
              </w:rPr>
              <w:t>Definitions</w:t>
            </w:r>
            <w:r w:rsidR="00DF3CAF">
              <w:rPr>
                <w:noProof/>
                <w:webHidden/>
              </w:rPr>
              <w:tab/>
            </w:r>
            <w:r w:rsidR="00DF3CAF">
              <w:rPr>
                <w:noProof/>
                <w:webHidden/>
              </w:rPr>
              <w:fldChar w:fldCharType="begin"/>
            </w:r>
            <w:r w:rsidR="00DF3CAF">
              <w:rPr>
                <w:noProof/>
                <w:webHidden/>
              </w:rPr>
              <w:instrText xml:space="preserve"> PAGEREF _Toc41427186 \h </w:instrText>
            </w:r>
            <w:r w:rsidR="00DF3CAF">
              <w:rPr>
                <w:noProof/>
                <w:webHidden/>
              </w:rPr>
            </w:r>
            <w:r w:rsidR="00DF3CAF">
              <w:rPr>
                <w:noProof/>
                <w:webHidden/>
              </w:rPr>
              <w:fldChar w:fldCharType="separate"/>
            </w:r>
            <w:r w:rsidR="00DF3CAF">
              <w:rPr>
                <w:noProof/>
                <w:webHidden/>
              </w:rPr>
              <w:t>42</w:t>
            </w:r>
            <w:r w:rsidR="00DF3CAF">
              <w:rPr>
                <w:noProof/>
                <w:webHidden/>
              </w:rPr>
              <w:fldChar w:fldCharType="end"/>
            </w:r>
          </w:hyperlink>
        </w:p>
        <w:p w14:paraId="5BF91AA1" w14:textId="1ECB960E" w:rsidR="00DF3CAF" w:rsidRDefault="005676C9">
          <w:pPr>
            <w:pStyle w:val="TOC1"/>
            <w:tabs>
              <w:tab w:val="right" w:pos="9350"/>
            </w:tabs>
            <w:rPr>
              <w:noProof/>
              <w:sz w:val="22"/>
              <w:szCs w:val="22"/>
              <w:lang w:val="fi-FI" w:eastAsia="fi-FI"/>
            </w:rPr>
          </w:pPr>
          <w:hyperlink w:anchor="_Toc41427187" w:history="1">
            <w:r w:rsidR="00DF3CAF" w:rsidRPr="00D73A71">
              <w:rPr>
                <w:rStyle w:val="Hyperlink"/>
                <w:noProof/>
              </w:rPr>
              <w:t>Appendix I - Assessment checklist</w:t>
            </w:r>
            <w:r w:rsidR="00DF3CAF">
              <w:rPr>
                <w:noProof/>
                <w:webHidden/>
              </w:rPr>
              <w:tab/>
            </w:r>
            <w:r w:rsidR="00DF3CAF">
              <w:rPr>
                <w:noProof/>
                <w:webHidden/>
              </w:rPr>
              <w:fldChar w:fldCharType="begin"/>
            </w:r>
            <w:r w:rsidR="00DF3CAF">
              <w:rPr>
                <w:noProof/>
                <w:webHidden/>
              </w:rPr>
              <w:instrText xml:space="preserve"> PAGEREF _Toc41427187 \h </w:instrText>
            </w:r>
            <w:r w:rsidR="00DF3CAF">
              <w:rPr>
                <w:noProof/>
                <w:webHidden/>
              </w:rPr>
            </w:r>
            <w:r w:rsidR="00DF3CAF">
              <w:rPr>
                <w:noProof/>
                <w:webHidden/>
              </w:rPr>
              <w:fldChar w:fldCharType="separate"/>
            </w:r>
            <w:r w:rsidR="00DF3CAF">
              <w:rPr>
                <w:noProof/>
                <w:webHidden/>
              </w:rPr>
              <w:t>46</w:t>
            </w:r>
            <w:r w:rsidR="00DF3CAF">
              <w:rPr>
                <w:noProof/>
                <w:webHidden/>
              </w:rPr>
              <w:fldChar w:fldCharType="end"/>
            </w:r>
          </w:hyperlink>
        </w:p>
        <w:p w14:paraId="7E7F6A87" w14:textId="588AEAC3" w:rsidR="00DF3CAF" w:rsidRDefault="005676C9">
          <w:pPr>
            <w:pStyle w:val="TOC1"/>
            <w:tabs>
              <w:tab w:val="right" w:pos="9350"/>
            </w:tabs>
            <w:rPr>
              <w:noProof/>
              <w:sz w:val="22"/>
              <w:szCs w:val="22"/>
              <w:lang w:val="fi-FI" w:eastAsia="fi-FI"/>
            </w:rPr>
          </w:pPr>
          <w:hyperlink w:anchor="_Toc41427188" w:history="1">
            <w:r w:rsidR="00DF3CAF" w:rsidRPr="00D73A71">
              <w:rPr>
                <w:rStyle w:val="Hyperlink"/>
                <w:noProof/>
              </w:rPr>
              <w:t>Appendix II - List of authors and collaborators</w:t>
            </w:r>
            <w:r w:rsidR="00DF3CAF">
              <w:rPr>
                <w:noProof/>
                <w:webHidden/>
              </w:rPr>
              <w:tab/>
            </w:r>
            <w:r w:rsidR="00DF3CAF">
              <w:rPr>
                <w:noProof/>
                <w:webHidden/>
              </w:rPr>
              <w:fldChar w:fldCharType="begin"/>
            </w:r>
            <w:r w:rsidR="00DF3CAF">
              <w:rPr>
                <w:noProof/>
                <w:webHidden/>
              </w:rPr>
              <w:instrText xml:space="preserve"> PAGEREF _Toc41427188 \h </w:instrText>
            </w:r>
            <w:r w:rsidR="00DF3CAF">
              <w:rPr>
                <w:noProof/>
                <w:webHidden/>
              </w:rPr>
            </w:r>
            <w:r w:rsidR="00DF3CAF">
              <w:rPr>
                <w:noProof/>
                <w:webHidden/>
              </w:rPr>
              <w:fldChar w:fldCharType="separate"/>
            </w:r>
            <w:r w:rsidR="00DF3CAF">
              <w:rPr>
                <w:noProof/>
                <w:webHidden/>
              </w:rPr>
              <w:t>48</w:t>
            </w:r>
            <w:r w:rsidR="00DF3CAF">
              <w:rPr>
                <w:noProof/>
                <w:webHidden/>
              </w:rPr>
              <w:fldChar w:fldCharType="end"/>
            </w:r>
          </w:hyperlink>
        </w:p>
        <w:p w14:paraId="3F2AC78F" w14:textId="0A6DDCB4" w:rsidR="009D0AC7" w:rsidRDefault="009D0AC7" w:rsidP="009D0AC7">
          <w:pPr>
            <w:spacing w:after="80" w:line="252" w:lineRule="auto"/>
            <w:rPr>
              <w:rFonts w:cstheme="majorHAnsi"/>
              <w:b/>
              <w:bCs/>
              <w:lang w:val="en-GB"/>
            </w:rPr>
          </w:pPr>
          <w:r w:rsidRPr="00917846">
            <w:rPr>
              <w:rFonts w:asciiTheme="majorHAnsi" w:hAnsiTheme="majorHAnsi" w:cstheme="majorHAnsi"/>
              <w:b/>
              <w:bCs/>
              <w:lang w:val="en-GB"/>
            </w:rPr>
            <w:fldChar w:fldCharType="end"/>
          </w:r>
        </w:p>
      </w:sdtContent>
    </w:sdt>
    <w:p w14:paraId="70EADD91" w14:textId="7D7936BF" w:rsidR="00C7062E" w:rsidRDefault="00C7062E">
      <w:pPr>
        <w:rPr>
          <w:rFonts w:asciiTheme="majorHAnsi" w:eastAsiaTheme="majorEastAsia" w:hAnsiTheme="majorHAnsi" w:cstheme="majorBidi"/>
          <w:b/>
          <w:color w:val="3F3F3F" w:themeColor="accent2"/>
          <w:sz w:val="36"/>
          <w:szCs w:val="36"/>
        </w:rPr>
      </w:pPr>
      <w:r>
        <w:rPr>
          <w:b/>
        </w:rPr>
        <w:br w:type="page"/>
      </w:r>
    </w:p>
    <w:p w14:paraId="7B47F9A6" w14:textId="08504967" w:rsidR="0038502B" w:rsidRDefault="0038502B" w:rsidP="009D0AC7">
      <w:pPr>
        <w:pStyle w:val="Heading1"/>
      </w:pPr>
      <w:bookmarkStart w:id="3" w:name="_Toc41427142"/>
      <w:r w:rsidRPr="0038502B">
        <w:lastRenderedPageBreak/>
        <w:t>Introduction</w:t>
      </w:r>
      <w:bookmarkEnd w:id="3"/>
    </w:p>
    <w:p w14:paraId="3079B45E" w14:textId="007C8B3A" w:rsidR="0038502B" w:rsidRDefault="0038502B" w:rsidP="0038502B"/>
    <w:p w14:paraId="0EB2C17F" w14:textId="17EE21CD" w:rsidR="003F6B62" w:rsidRDefault="00394D83" w:rsidP="003A044C">
      <w:pPr>
        <w:jc w:val="both"/>
        <w:rPr>
          <w:sz w:val="24"/>
          <w:szCs w:val="24"/>
          <w:lang w:val="en-GB"/>
        </w:rPr>
      </w:pPr>
      <w:r w:rsidRPr="009D0AC7">
        <w:rPr>
          <w:sz w:val="24"/>
          <w:szCs w:val="24"/>
          <w:lang w:val="en-GB"/>
        </w:rPr>
        <w:t>Blood and blood components,</w:t>
      </w:r>
      <w:r w:rsidRPr="009D0AC7">
        <w:rPr>
          <w:sz w:val="24"/>
          <w:szCs w:val="24"/>
        </w:rPr>
        <w:t xml:space="preserve"> tissues and cells for clinical use bear the risk of carrying a number of infectious agents, which may result in the unintentional transmission of infectious agents, which could then lead to disease and </w:t>
      </w:r>
      <w:r w:rsidR="008809AC">
        <w:rPr>
          <w:sz w:val="24"/>
          <w:szCs w:val="24"/>
        </w:rPr>
        <w:t xml:space="preserve">even </w:t>
      </w:r>
      <w:r w:rsidRPr="009D0AC7">
        <w:rPr>
          <w:sz w:val="24"/>
          <w:szCs w:val="24"/>
        </w:rPr>
        <w:t xml:space="preserve">death in recipients. </w:t>
      </w:r>
      <w:r w:rsidR="003F6B62" w:rsidRPr="009D0AC7">
        <w:rPr>
          <w:sz w:val="24"/>
          <w:szCs w:val="24"/>
          <w:lang w:val="en-GB"/>
        </w:rPr>
        <w:t xml:space="preserve">There have been several reported </w:t>
      </w:r>
      <w:r w:rsidR="003F6B62" w:rsidRPr="008809AC">
        <w:rPr>
          <w:sz w:val="24"/>
          <w:szCs w:val="24"/>
          <w:lang w:val="en-GB"/>
        </w:rPr>
        <w:t>cases of infectious disease transmissions</w:t>
      </w:r>
      <w:r w:rsidR="003F6B62" w:rsidRPr="009D0AC7">
        <w:rPr>
          <w:sz w:val="24"/>
          <w:szCs w:val="24"/>
          <w:lang w:val="en-GB"/>
        </w:rPr>
        <w:t xml:space="preserve"> through blood, tissues and cells (BTCs). Many took place years ago, when today’s regulations, standards, and improved donor testing were not in place. However, even in the past years there have been cases of viral, bacterial and fungal infections from BTCs. </w:t>
      </w:r>
      <w:r w:rsidR="008809AC">
        <w:rPr>
          <w:sz w:val="24"/>
          <w:szCs w:val="24"/>
          <w:lang w:val="en-GB"/>
        </w:rPr>
        <w:t>Moreover, n</w:t>
      </w:r>
      <w:r w:rsidR="008809AC" w:rsidRPr="008809AC">
        <w:rPr>
          <w:sz w:val="24"/>
          <w:szCs w:val="24"/>
          <w:lang w:val="en-GB"/>
        </w:rPr>
        <w:t>ew threats</w:t>
      </w:r>
      <w:r w:rsidR="008809AC" w:rsidRPr="009D0AC7">
        <w:rPr>
          <w:sz w:val="24"/>
          <w:szCs w:val="24"/>
          <w:lang w:val="en-GB"/>
        </w:rPr>
        <w:t xml:space="preserve"> have also been identified as for example prions (e.g.</w:t>
      </w:r>
      <w:r w:rsidR="00221AAB" w:rsidRPr="00221AAB">
        <w:t xml:space="preserve"> </w:t>
      </w:r>
      <w:r w:rsidR="00221AAB">
        <w:t xml:space="preserve">in </w:t>
      </w:r>
      <w:r w:rsidR="00221AAB" w:rsidRPr="00221AAB">
        <w:rPr>
          <w:sz w:val="24"/>
          <w:szCs w:val="24"/>
          <w:lang w:val="en-GB"/>
        </w:rPr>
        <w:t>variant Creutzfeldt-Jakob disease</w:t>
      </w:r>
      <w:r w:rsidR="00221AAB">
        <w:rPr>
          <w:sz w:val="24"/>
          <w:szCs w:val="24"/>
          <w:lang w:val="en-GB"/>
        </w:rPr>
        <w:t>;</w:t>
      </w:r>
      <w:r w:rsidR="008809AC" w:rsidRPr="009D0AC7">
        <w:rPr>
          <w:sz w:val="24"/>
          <w:szCs w:val="24"/>
          <w:lang w:val="en-GB"/>
        </w:rPr>
        <w:t xml:space="preserve"> vCJD), emerging viruses (e.g. West Nile virus, dengue virus, Chikungunya virus, </w:t>
      </w:r>
      <w:r w:rsidR="00221AAB" w:rsidRPr="00221AAB">
        <w:rPr>
          <w:sz w:val="24"/>
          <w:szCs w:val="24"/>
          <w:lang w:val="en-GB"/>
        </w:rPr>
        <w:t xml:space="preserve">Human T-cell leukaemia virus </w:t>
      </w:r>
      <w:r w:rsidR="008809AC" w:rsidRPr="009D0AC7">
        <w:rPr>
          <w:sz w:val="24"/>
          <w:szCs w:val="24"/>
          <w:lang w:val="en-GB"/>
        </w:rPr>
        <w:t>HTLV-I/-II</w:t>
      </w:r>
      <w:r w:rsidR="00DA2FB6">
        <w:rPr>
          <w:sz w:val="24"/>
          <w:szCs w:val="24"/>
          <w:lang w:val="en-GB"/>
        </w:rPr>
        <w:t>, Zika virus</w:t>
      </w:r>
      <w:r w:rsidR="008809AC" w:rsidRPr="009D0AC7">
        <w:rPr>
          <w:sz w:val="24"/>
          <w:szCs w:val="24"/>
          <w:lang w:val="en-GB"/>
        </w:rPr>
        <w:t xml:space="preserve">), and parasites (e.g. </w:t>
      </w:r>
      <w:r w:rsidR="008809AC" w:rsidRPr="00E268B7">
        <w:rPr>
          <w:i/>
          <w:sz w:val="24"/>
          <w:szCs w:val="24"/>
          <w:lang w:val="en-GB"/>
        </w:rPr>
        <w:t>Plasmodium falciparum</w:t>
      </w:r>
      <w:r w:rsidR="008809AC" w:rsidRPr="009D0AC7">
        <w:rPr>
          <w:sz w:val="24"/>
          <w:szCs w:val="24"/>
          <w:lang w:val="en-GB"/>
        </w:rPr>
        <w:t xml:space="preserve"> in malaria, </w:t>
      </w:r>
      <w:r w:rsidR="008809AC" w:rsidRPr="00E268B7">
        <w:rPr>
          <w:i/>
          <w:sz w:val="24"/>
          <w:szCs w:val="24"/>
          <w:lang w:val="en-GB"/>
        </w:rPr>
        <w:t>Trypanosoma cruzi</w:t>
      </w:r>
      <w:r w:rsidR="008809AC" w:rsidRPr="009D0AC7">
        <w:rPr>
          <w:sz w:val="24"/>
          <w:szCs w:val="24"/>
          <w:lang w:val="en-GB"/>
        </w:rPr>
        <w:t xml:space="preserve"> in Chagas disease, </w:t>
      </w:r>
      <w:r w:rsidR="008809AC" w:rsidRPr="00E268B7">
        <w:rPr>
          <w:i/>
          <w:sz w:val="24"/>
          <w:szCs w:val="24"/>
          <w:lang w:val="en-GB"/>
        </w:rPr>
        <w:t>Babesia</w:t>
      </w:r>
      <w:r w:rsidR="008809AC" w:rsidRPr="009D0AC7">
        <w:rPr>
          <w:sz w:val="24"/>
          <w:szCs w:val="24"/>
          <w:lang w:val="en-GB"/>
        </w:rPr>
        <w:t xml:space="preserve"> in babesiosis). Emerging of novel pathogens is rather unpredictable, however mathematical models suggest that every 5 years a new transfusion-transmissible infectious agent will emerge (Gallagher LM et al. 2014).</w:t>
      </w:r>
      <w:r w:rsidR="008809AC">
        <w:rPr>
          <w:sz w:val="24"/>
          <w:szCs w:val="24"/>
          <w:lang w:val="en-GB"/>
        </w:rPr>
        <w:t xml:space="preserve"> </w:t>
      </w:r>
      <w:r w:rsidR="00575899">
        <w:rPr>
          <w:sz w:val="24"/>
          <w:szCs w:val="24"/>
          <w:lang w:val="en-GB"/>
        </w:rPr>
        <w:t>T</w:t>
      </w:r>
      <w:r w:rsidR="003A044C" w:rsidRPr="003A044C">
        <w:rPr>
          <w:sz w:val="24"/>
          <w:szCs w:val="24"/>
          <w:lang w:val="en-GB"/>
        </w:rPr>
        <w:t>he severe acute respiratory</w:t>
      </w:r>
      <w:r w:rsidR="003A044C">
        <w:rPr>
          <w:sz w:val="24"/>
          <w:szCs w:val="24"/>
          <w:lang w:val="en-GB"/>
        </w:rPr>
        <w:t xml:space="preserve"> </w:t>
      </w:r>
      <w:r w:rsidR="003A044C" w:rsidRPr="003A044C">
        <w:rPr>
          <w:sz w:val="24"/>
          <w:szCs w:val="24"/>
          <w:lang w:val="en-GB"/>
        </w:rPr>
        <w:t>syndrome (SARS) virus in 2002/2003, the Middle</w:t>
      </w:r>
      <w:r w:rsidR="003A044C">
        <w:rPr>
          <w:sz w:val="24"/>
          <w:szCs w:val="24"/>
          <w:lang w:val="en-GB"/>
        </w:rPr>
        <w:t xml:space="preserve"> </w:t>
      </w:r>
      <w:r w:rsidR="003A044C" w:rsidRPr="003A044C">
        <w:rPr>
          <w:sz w:val="24"/>
          <w:szCs w:val="24"/>
          <w:lang w:val="en-GB"/>
        </w:rPr>
        <w:t>East Respiratory Syndrome Coronavirus (MERS-CoV,</w:t>
      </w:r>
      <w:r w:rsidR="003A044C">
        <w:rPr>
          <w:sz w:val="24"/>
          <w:szCs w:val="24"/>
          <w:lang w:val="en-GB"/>
        </w:rPr>
        <w:t xml:space="preserve"> </w:t>
      </w:r>
      <w:r w:rsidR="003A044C" w:rsidRPr="003A044C">
        <w:rPr>
          <w:sz w:val="24"/>
          <w:szCs w:val="24"/>
          <w:lang w:val="en-GB"/>
        </w:rPr>
        <w:t>H7N9) in 2012</w:t>
      </w:r>
      <w:r w:rsidR="003A044C">
        <w:rPr>
          <w:sz w:val="24"/>
          <w:szCs w:val="24"/>
          <w:lang w:val="en-GB"/>
        </w:rPr>
        <w:t xml:space="preserve">, and the </w:t>
      </w:r>
      <w:r w:rsidR="00496997">
        <w:rPr>
          <w:sz w:val="24"/>
          <w:szCs w:val="24"/>
          <w:lang w:val="en-GB"/>
        </w:rPr>
        <w:t xml:space="preserve">new coronavirus </w:t>
      </w:r>
      <w:r w:rsidR="00575899" w:rsidRPr="00575899">
        <w:rPr>
          <w:sz w:val="24"/>
          <w:szCs w:val="24"/>
          <w:lang w:val="en-GB"/>
        </w:rPr>
        <w:t>SARS-CoV-2</w:t>
      </w:r>
      <w:r w:rsidR="003A044C" w:rsidRPr="003A044C">
        <w:rPr>
          <w:sz w:val="24"/>
          <w:szCs w:val="24"/>
          <w:lang w:val="en-GB"/>
        </w:rPr>
        <w:t xml:space="preserve"> </w:t>
      </w:r>
      <w:r w:rsidR="00575899">
        <w:rPr>
          <w:sz w:val="24"/>
          <w:szCs w:val="24"/>
          <w:lang w:val="en-GB"/>
        </w:rPr>
        <w:t xml:space="preserve">in 2019/2020 </w:t>
      </w:r>
      <w:r w:rsidR="003A044C" w:rsidRPr="003A044C">
        <w:rPr>
          <w:sz w:val="24"/>
          <w:szCs w:val="24"/>
          <w:lang w:val="en-GB"/>
        </w:rPr>
        <w:t xml:space="preserve">are </w:t>
      </w:r>
      <w:r w:rsidR="00575899">
        <w:rPr>
          <w:sz w:val="24"/>
          <w:szCs w:val="24"/>
          <w:lang w:val="en-GB"/>
        </w:rPr>
        <w:t>good</w:t>
      </w:r>
      <w:r w:rsidR="003A044C" w:rsidRPr="003A044C">
        <w:rPr>
          <w:sz w:val="24"/>
          <w:szCs w:val="24"/>
          <w:lang w:val="en-GB"/>
        </w:rPr>
        <w:t xml:space="preserve"> examples of how rapidly pathogens</w:t>
      </w:r>
      <w:r w:rsidR="003A044C">
        <w:rPr>
          <w:sz w:val="24"/>
          <w:szCs w:val="24"/>
          <w:lang w:val="en-GB"/>
        </w:rPr>
        <w:t xml:space="preserve"> </w:t>
      </w:r>
      <w:r w:rsidR="003A044C" w:rsidRPr="003A044C">
        <w:rPr>
          <w:sz w:val="24"/>
          <w:szCs w:val="24"/>
          <w:lang w:val="en-GB"/>
        </w:rPr>
        <w:t>can emerge and spread worldwide</w:t>
      </w:r>
      <w:r w:rsidR="003A044C">
        <w:rPr>
          <w:sz w:val="24"/>
          <w:szCs w:val="24"/>
          <w:lang w:val="en-GB"/>
        </w:rPr>
        <w:t xml:space="preserve"> (</w:t>
      </w:r>
      <w:r w:rsidR="0034576D">
        <w:rPr>
          <w:sz w:val="24"/>
          <w:szCs w:val="24"/>
          <w:lang w:val="en-GB"/>
        </w:rPr>
        <w:t xml:space="preserve">Kuiken et al. 2003, </w:t>
      </w:r>
      <w:r w:rsidR="00533CCB">
        <w:rPr>
          <w:sz w:val="24"/>
          <w:szCs w:val="24"/>
          <w:lang w:val="en-GB"/>
        </w:rPr>
        <w:t>Qi et al. 2013, Wang et al. 2020</w:t>
      </w:r>
      <w:r w:rsidR="003A044C">
        <w:rPr>
          <w:sz w:val="24"/>
          <w:szCs w:val="24"/>
          <w:lang w:val="en-GB"/>
        </w:rPr>
        <w:t xml:space="preserve">). </w:t>
      </w:r>
      <w:r w:rsidR="008809AC">
        <w:rPr>
          <w:sz w:val="24"/>
          <w:szCs w:val="24"/>
          <w:lang w:val="en-GB"/>
        </w:rPr>
        <w:t>Therefore t</w:t>
      </w:r>
      <w:r w:rsidR="003F6B62" w:rsidRPr="009D0AC7">
        <w:rPr>
          <w:sz w:val="24"/>
          <w:szCs w:val="24"/>
          <w:lang w:val="en-GB"/>
        </w:rPr>
        <w:t>he risk of infection transmission through BTC rem</w:t>
      </w:r>
      <w:r w:rsidR="003F6B62">
        <w:rPr>
          <w:sz w:val="24"/>
          <w:szCs w:val="24"/>
          <w:lang w:val="en-GB"/>
        </w:rPr>
        <w:t>ains a rare but ongoing concern.</w:t>
      </w:r>
      <w:r w:rsidR="008809AC">
        <w:rPr>
          <w:sz w:val="24"/>
          <w:szCs w:val="24"/>
          <w:lang w:val="en-GB"/>
        </w:rPr>
        <w:t xml:space="preserve"> </w:t>
      </w:r>
    </w:p>
    <w:p w14:paraId="15A89026" w14:textId="278D4C8B" w:rsidR="00394D83" w:rsidRDefault="003F6B62" w:rsidP="009D0AC7">
      <w:pPr>
        <w:jc w:val="both"/>
        <w:rPr>
          <w:sz w:val="24"/>
          <w:szCs w:val="24"/>
        </w:rPr>
      </w:pPr>
      <w:r w:rsidRPr="009D0AC7">
        <w:rPr>
          <w:sz w:val="24"/>
          <w:szCs w:val="24"/>
          <w:lang w:val="en-GB"/>
        </w:rPr>
        <w:t>Since the 1980s transf</w:t>
      </w:r>
      <w:r w:rsidRPr="00C7062E">
        <w:rPr>
          <w:sz w:val="24"/>
          <w:szCs w:val="24"/>
          <w:lang w:val="en-GB"/>
        </w:rPr>
        <w:t>usion</w:t>
      </w:r>
      <w:r w:rsidR="0000340F" w:rsidRPr="00C7062E">
        <w:rPr>
          <w:sz w:val="24"/>
          <w:szCs w:val="24"/>
          <w:lang w:val="en-GB"/>
        </w:rPr>
        <w:t xml:space="preserve">-transmitted HIV epidemics, the possibility of </w:t>
      </w:r>
      <w:r w:rsidR="0016654F">
        <w:rPr>
          <w:sz w:val="24"/>
          <w:szCs w:val="24"/>
          <w:lang w:val="en-GB"/>
        </w:rPr>
        <w:t>BTC</w:t>
      </w:r>
      <w:r w:rsidR="0000340F" w:rsidRPr="00C7062E">
        <w:rPr>
          <w:sz w:val="24"/>
          <w:szCs w:val="24"/>
          <w:lang w:val="en-GB"/>
        </w:rPr>
        <w:t xml:space="preserve"> transmitted HIV, HBV and HCV infections </w:t>
      </w:r>
      <w:r w:rsidRPr="00C7062E">
        <w:rPr>
          <w:sz w:val="24"/>
          <w:szCs w:val="24"/>
          <w:lang w:val="en-GB"/>
        </w:rPr>
        <w:t>ha</w:t>
      </w:r>
      <w:r w:rsidRPr="009D0AC7">
        <w:rPr>
          <w:sz w:val="24"/>
          <w:szCs w:val="24"/>
          <w:lang w:val="en-GB"/>
        </w:rPr>
        <w:t xml:space="preserve">s markedly decreased over the decades </w:t>
      </w:r>
      <w:r w:rsidR="0077575D">
        <w:rPr>
          <w:sz w:val="24"/>
          <w:szCs w:val="24"/>
          <w:lang w:val="en-GB"/>
        </w:rPr>
        <w:t xml:space="preserve">due to risk mitigation strategies - </w:t>
      </w:r>
      <w:r w:rsidRPr="009D0AC7">
        <w:rPr>
          <w:sz w:val="24"/>
          <w:szCs w:val="24"/>
          <w:lang w:val="en-GB"/>
        </w:rPr>
        <w:t>for example revised don</w:t>
      </w:r>
      <w:r w:rsidR="00E93F9F">
        <w:rPr>
          <w:sz w:val="24"/>
          <w:szCs w:val="24"/>
          <w:lang w:val="en-GB"/>
        </w:rPr>
        <w:t>or selection criteria, testing</w:t>
      </w:r>
      <w:r w:rsidR="0000340F">
        <w:rPr>
          <w:sz w:val="24"/>
          <w:szCs w:val="24"/>
          <w:lang w:val="en-GB"/>
        </w:rPr>
        <w:t xml:space="preserve"> </w:t>
      </w:r>
      <w:r w:rsidR="00A67D38">
        <w:rPr>
          <w:sz w:val="24"/>
          <w:szCs w:val="24"/>
          <w:lang w:val="en-GB"/>
        </w:rPr>
        <w:t xml:space="preserve">(including </w:t>
      </w:r>
      <w:r w:rsidR="00FD15B1" w:rsidRPr="00FD15B1">
        <w:rPr>
          <w:sz w:val="24"/>
          <w:szCs w:val="24"/>
          <w:lang w:val="en-GB"/>
        </w:rPr>
        <w:t xml:space="preserve">nucleic acid amplification technique </w:t>
      </w:r>
      <w:r w:rsidR="00FD15B1">
        <w:rPr>
          <w:sz w:val="24"/>
          <w:szCs w:val="24"/>
          <w:lang w:val="en-GB"/>
        </w:rPr>
        <w:t>(</w:t>
      </w:r>
      <w:r w:rsidR="0000340F">
        <w:rPr>
          <w:sz w:val="24"/>
          <w:szCs w:val="24"/>
          <w:lang w:val="en-GB"/>
        </w:rPr>
        <w:t>NAT</w:t>
      </w:r>
      <w:r w:rsidR="00FD15B1">
        <w:rPr>
          <w:sz w:val="24"/>
          <w:szCs w:val="24"/>
          <w:lang w:val="en-GB"/>
        </w:rPr>
        <w:t>)</w:t>
      </w:r>
      <w:r w:rsidR="0000340F">
        <w:rPr>
          <w:sz w:val="24"/>
          <w:szCs w:val="24"/>
          <w:lang w:val="en-GB"/>
        </w:rPr>
        <w:t xml:space="preserve"> testing</w:t>
      </w:r>
      <w:r w:rsidR="00A67D38">
        <w:rPr>
          <w:sz w:val="24"/>
          <w:szCs w:val="24"/>
          <w:lang w:val="en-GB"/>
        </w:rPr>
        <w:t>)</w:t>
      </w:r>
      <w:r w:rsidR="0000340F">
        <w:rPr>
          <w:sz w:val="24"/>
          <w:szCs w:val="24"/>
          <w:lang w:val="en-GB"/>
        </w:rPr>
        <w:t xml:space="preserve"> of donors for </w:t>
      </w:r>
      <w:r w:rsidR="0000340F" w:rsidRPr="009D0AC7">
        <w:rPr>
          <w:sz w:val="24"/>
          <w:szCs w:val="24"/>
          <w:lang w:val="en-GB"/>
        </w:rPr>
        <w:t>HIV, HBV and HCV</w:t>
      </w:r>
      <w:r w:rsidR="0000340F">
        <w:rPr>
          <w:sz w:val="24"/>
          <w:szCs w:val="24"/>
          <w:lang w:val="en-GB"/>
        </w:rPr>
        <w:t>.</w:t>
      </w:r>
      <w:r w:rsidR="00C7062E">
        <w:rPr>
          <w:sz w:val="24"/>
          <w:szCs w:val="24"/>
          <w:lang w:val="en-GB"/>
        </w:rPr>
        <w:t xml:space="preserve"> Indeed, </w:t>
      </w:r>
      <w:r w:rsidR="00E93F9F">
        <w:rPr>
          <w:sz w:val="24"/>
          <w:szCs w:val="24"/>
        </w:rPr>
        <w:t>appropriate</w:t>
      </w:r>
      <w:r w:rsidR="00A67D38">
        <w:rPr>
          <w:sz w:val="24"/>
          <w:szCs w:val="24"/>
        </w:rPr>
        <w:t xml:space="preserve"> and reliable</w:t>
      </w:r>
      <w:r w:rsidR="00E93F9F">
        <w:rPr>
          <w:sz w:val="24"/>
          <w:szCs w:val="24"/>
        </w:rPr>
        <w:t xml:space="preserve"> laboratory test</w:t>
      </w:r>
      <w:r w:rsidR="00394D83" w:rsidRPr="009D0AC7">
        <w:rPr>
          <w:sz w:val="24"/>
          <w:szCs w:val="24"/>
        </w:rPr>
        <w:t xml:space="preserve">ing of each donation and/or donor, </w:t>
      </w:r>
      <w:r w:rsidR="00C7062E" w:rsidRPr="009D0AC7">
        <w:rPr>
          <w:sz w:val="24"/>
          <w:szCs w:val="24"/>
          <w:lang w:val="en-GB"/>
        </w:rPr>
        <w:t>control of reagents, pathogen reduction</w:t>
      </w:r>
      <w:r w:rsidR="00C7062E">
        <w:rPr>
          <w:sz w:val="24"/>
          <w:szCs w:val="24"/>
        </w:rPr>
        <w:t xml:space="preserve">, </w:t>
      </w:r>
      <w:r w:rsidR="00394D83" w:rsidRPr="009D0AC7">
        <w:rPr>
          <w:sz w:val="24"/>
          <w:szCs w:val="24"/>
        </w:rPr>
        <w:t xml:space="preserve">as well as, where appropriate, post-processing microbiological testing of </w:t>
      </w:r>
      <w:r w:rsidR="00B15B68">
        <w:rPr>
          <w:sz w:val="24"/>
          <w:szCs w:val="24"/>
        </w:rPr>
        <w:t>BTCs</w:t>
      </w:r>
      <w:r w:rsidR="00C7062E">
        <w:rPr>
          <w:sz w:val="24"/>
          <w:szCs w:val="24"/>
        </w:rPr>
        <w:t>, can substantially reduce the</w:t>
      </w:r>
      <w:r w:rsidR="00394D83" w:rsidRPr="009D0AC7">
        <w:rPr>
          <w:sz w:val="24"/>
          <w:szCs w:val="24"/>
        </w:rPr>
        <w:t xml:space="preserve"> risk</w:t>
      </w:r>
      <w:r w:rsidR="00C7062E">
        <w:rPr>
          <w:sz w:val="24"/>
          <w:szCs w:val="24"/>
        </w:rPr>
        <w:t xml:space="preserve"> of infection and </w:t>
      </w:r>
      <w:r w:rsidR="00B15B68">
        <w:rPr>
          <w:sz w:val="24"/>
          <w:szCs w:val="24"/>
        </w:rPr>
        <w:t>improve</w:t>
      </w:r>
      <w:r w:rsidR="00C7062E">
        <w:rPr>
          <w:sz w:val="24"/>
          <w:szCs w:val="24"/>
        </w:rPr>
        <w:t xml:space="preserve"> the overall safety of BTCs.</w:t>
      </w:r>
    </w:p>
    <w:p w14:paraId="2129C31E" w14:textId="77777777" w:rsidR="00E31713" w:rsidRPr="00565B07" w:rsidRDefault="00E31713" w:rsidP="009D0AC7">
      <w:pPr>
        <w:jc w:val="both"/>
        <w:rPr>
          <w:sz w:val="24"/>
          <w:szCs w:val="24"/>
        </w:rPr>
      </w:pPr>
    </w:p>
    <w:p w14:paraId="39A0500E" w14:textId="4927C8E3" w:rsidR="00934A71" w:rsidRPr="006F3CC6" w:rsidRDefault="00934A71" w:rsidP="00DF72E9">
      <w:pPr>
        <w:pStyle w:val="Heading1"/>
      </w:pPr>
      <w:bookmarkStart w:id="4" w:name="_Toc41427143"/>
      <w:r w:rsidRPr="006F3CC6">
        <w:t>Aim</w:t>
      </w:r>
      <w:r w:rsidR="0082082C" w:rsidRPr="006F3CC6">
        <w:t>s</w:t>
      </w:r>
      <w:bookmarkEnd w:id="4"/>
      <w:r w:rsidRPr="006F3CC6">
        <w:t xml:space="preserve"> </w:t>
      </w:r>
    </w:p>
    <w:p w14:paraId="22BDB693" w14:textId="77777777" w:rsidR="0038502B" w:rsidRPr="0038502B" w:rsidRDefault="0038502B" w:rsidP="006F3CC6"/>
    <w:p w14:paraId="7F02D328" w14:textId="01334EC5" w:rsidR="0038502B" w:rsidRDefault="003C7CFD" w:rsidP="006F3CC6">
      <w:pPr>
        <w:rPr>
          <w:sz w:val="24"/>
          <w:szCs w:val="24"/>
        </w:rPr>
      </w:pPr>
      <w:r w:rsidRPr="0000312D">
        <w:rPr>
          <w:sz w:val="24"/>
          <w:szCs w:val="24"/>
        </w:rPr>
        <w:t>This annex</w:t>
      </w:r>
      <w:r w:rsidR="003F6B62" w:rsidRPr="0000312D">
        <w:rPr>
          <w:sz w:val="24"/>
          <w:szCs w:val="24"/>
        </w:rPr>
        <w:t xml:space="preserve"> provides high level requirements and criteria for verifying that </w:t>
      </w:r>
      <w:r w:rsidR="0000312D">
        <w:rPr>
          <w:sz w:val="24"/>
          <w:szCs w:val="24"/>
        </w:rPr>
        <w:t xml:space="preserve">the microbiological quality of </w:t>
      </w:r>
      <w:r w:rsidR="003F6B62" w:rsidRPr="0000312D">
        <w:rPr>
          <w:sz w:val="24"/>
          <w:szCs w:val="24"/>
        </w:rPr>
        <w:t xml:space="preserve">blood, tissues and cells </w:t>
      </w:r>
      <w:r w:rsidR="0000312D">
        <w:rPr>
          <w:sz w:val="24"/>
          <w:szCs w:val="24"/>
        </w:rPr>
        <w:t>is</w:t>
      </w:r>
      <w:r w:rsidR="0000312D" w:rsidRPr="0000312D">
        <w:rPr>
          <w:sz w:val="24"/>
          <w:szCs w:val="24"/>
        </w:rPr>
        <w:t xml:space="preserve"> </w:t>
      </w:r>
      <w:r w:rsidR="003F6B62" w:rsidRPr="0000312D">
        <w:rPr>
          <w:sz w:val="24"/>
          <w:szCs w:val="24"/>
        </w:rPr>
        <w:t xml:space="preserve">in accordance with </w:t>
      </w:r>
      <w:r w:rsidRPr="0000312D">
        <w:rPr>
          <w:sz w:val="24"/>
          <w:szCs w:val="24"/>
        </w:rPr>
        <w:t xml:space="preserve">current </w:t>
      </w:r>
      <w:r w:rsidRPr="0000312D">
        <w:rPr>
          <w:rFonts w:cstheme="majorHAnsi"/>
          <w:sz w:val="24"/>
          <w:szCs w:val="24"/>
        </w:rPr>
        <w:t>European Blood, Tissues and Cells Directives</w:t>
      </w:r>
      <w:r w:rsidRPr="0000312D">
        <w:rPr>
          <w:sz w:val="24"/>
          <w:szCs w:val="24"/>
        </w:rPr>
        <w:t xml:space="preserve"> (EUBTCDs) and other standards and guidelines</w:t>
      </w:r>
      <w:r w:rsidR="003F6B62" w:rsidRPr="0000312D">
        <w:rPr>
          <w:sz w:val="24"/>
          <w:szCs w:val="24"/>
        </w:rPr>
        <w:t xml:space="preserve"> that ensure the quality and safety of </w:t>
      </w:r>
      <w:r w:rsidRPr="0000312D">
        <w:rPr>
          <w:sz w:val="24"/>
          <w:szCs w:val="24"/>
        </w:rPr>
        <w:t>BTCs</w:t>
      </w:r>
      <w:r w:rsidR="003F6B62" w:rsidRPr="0000312D">
        <w:rPr>
          <w:sz w:val="24"/>
          <w:szCs w:val="24"/>
        </w:rPr>
        <w:t>.</w:t>
      </w:r>
    </w:p>
    <w:p w14:paraId="0CEBD494" w14:textId="27E2E84D" w:rsidR="00966281" w:rsidRPr="00E14801" w:rsidRDefault="008A6D20" w:rsidP="00966281">
      <w:pPr>
        <w:rPr>
          <w:rFonts w:cstheme="minorHAnsi"/>
          <w:sz w:val="24"/>
          <w:szCs w:val="24"/>
          <w:lang w:val="en-GB"/>
        </w:rPr>
      </w:pPr>
      <w:r>
        <w:rPr>
          <w:rFonts w:cstheme="minorHAnsi"/>
          <w:sz w:val="24"/>
          <w:szCs w:val="24"/>
          <w:lang w:val="en-GB"/>
        </w:rPr>
        <w:lastRenderedPageBreak/>
        <w:t>In more detail, t</w:t>
      </w:r>
      <w:r w:rsidR="00966281" w:rsidRPr="00E14801">
        <w:rPr>
          <w:rFonts w:cstheme="minorHAnsi"/>
          <w:sz w:val="24"/>
          <w:szCs w:val="24"/>
          <w:lang w:val="en-GB"/>
        </w:rPr>
        <w:t xml:space="preserve">his guidance </w:t>
      </w:r>
      <w:r>
        <w:rPr>
          <w:rFonts w:cstheme="minorHAnsi"/>
          <w:sz w:val="24"/>
          <w:szCs w:val="24"/>
          <w:lang w:val="en-GB"/>
        </w:rPr>
        <w:t>describes</w:t>
      </w:r>
      <w:r w:rsidR="00966281" w:rsidRPr="00E14801">
        <w:rPr>
          <w:rFonts w:cstheme="minorHAnsi"/>
          <w:sz w:val="24"/>
          <w:szCs w:val="24"/>
          <w:lang w:val="en-GB"/>
        </w:rPr>
        <w:t xml:space="preserve"> aspects which </w:t>
      </w:r>
      <w:r>
        <w:rPr>
          <w:rFonts w:cstheme="minorHAnsi"/>
          <w:sz w:val="24"/>
          <w:szCs w:val="24"/>
          <w:lang w:val="en-GB"/>
        </w:rPr>
        <w:t xml:space="preserve">Member States (MS) </w:t>
      </w:r>
      <w:r w:rsidR="00966281" w:rsidRPr="00E14801">
        <w:rPr>
          <w:rFonts w:cstheme="minorHAnsi"/>
          <w:sz w:val="24"/>
          <w:szCs w:val="24"/>
          <w:lang w:val="en-GB"/>
        </w:rPr>
        <w:t xml:space="preserve">Competent Authorities </w:t>
      </w:r>
      <w:r>
        <w:rPr>
          <w:rFonts w:cstheme="minorHAnsi"/>
          <w:sz w:val="24"/>
          <w:szCs w:val="24"/>
          <w:lang w:val="en-GB"/>
        </w:rPr>
        <w:t xml:space="preserve">(CA) </w:t>
      </w:r>
      <w:r w:rsidR="00966281" w:rsidRPr="00E14801">
        <w:rPr>
          <w:rFonts w:cstheme="minorHAnsi"/>
          <w:sz w:val="24"/>
          <w:szCs w:val="24"/>
          <w:lang w:val="en-GB"/>
        </w:rPr>
        <w:t>should take into account when assessing</w:t>
      </w:r>
      <w:r>
        <w:rPr>
          <w:rFonts w:cstheme="minorHAnsi"/>
          <w:sz w:val="24"/>
          <w:szCs w:val="24"/>
          <w:lang w:val="en-GB"/>
        </w:rPr>
        <w:t>:</w:t>
      </w:r>
      <w:r w:rsidR="00966281" w:rsidRPr="00E14801">
        <w:rPr>
          <w:rFonts w:cstheme="minorHAnsi"/>
          <w:sz w:val="24"/>
          <w:szCs w:val="24"/>
          <w:lang w:val="en-GB"/>
        </w:rPr>
        <w:t xml:space="preserve"> </w:t>
      </w:r>
    </w:p>
    <w:p w14:paraId="4E46E338" w14:textId="46851AC6" w:rsidR="00966281" w:rsidRPr="006F3CC6" w:rsidRDefault="00966281" w:rsidP="009A297D">
      <w:pPr>
        <w:pStyle w:val="ListParagraph"/>
        <w:numPr>
          <w:ilvl w:val="0"/>
          <w:numId w:val="5"/>
        </w:numPr>
        <w:rPr>
          <w:rFonts w:cstheme="minorHAnsi"/>
          <w:sz w:val="24"/>
          <w:szCs w:val="24"/>
          <w:lang w:val="en-GB"/>
        </w:rPr>
      </w:pPr>
      <w:r w:rsidRPr="006F3CC6">
        <w:rPr>
          <w:rFonts w:cstheme="minorHAnsi"/>
          <w:sz w:val="24"/>
          <w:szCs w:val="24"/>
          <w:lang w:val="en-GB"/>
        </w:rPr>
        <w:t xml:space="preserve">competence of laboratories performing donor infectious disease </w:t>
      </w:r>
      <w:r>
        <w:rPr>
          <w:rFonts w:cstheme="minorHAnsi"/>
          <w:sz w:val="24"/>
          <w:szCs w:val="24"/>
          <w:lang w:val="en-GB"/>
        </w:rPr>
        <w:t>testing</w:t>
      </w:r>
      <w:r w:rsidRPr="006F3CC6">
        <w:rPr>
          <w:rFonts w:cstheme="minorHAnsi"/>
          <w:sz w:val="24"/>
          <w:szCs w:val="24"/>
          <w:lang w:val="en-GB"/>
        </w:rPr>
        <w:t xml:space="preserve"> and microbiological testing of </w:t>
      </w:r>
      <w:r>
        <w:rPr>
          <w:rFonts w:cstheme="minorHAnsi"/>
          <w:sz w:val="24"/>
          <w:szCs w:val="24"/>
          <w:lang w:val="en-GB"/>
        </w:rPr>
        <w:t>BTCs</w:t>
      </w:r>
    </w:p>
    <w:p w14:paraId="6E025CA8" w14:textId="7EB35D1A" w:rsidR="00966281" w:rsidRPr="00966281" w:rsidRDefault="00E93F9F" w:rsidP="009A297D">
      <w:pPr>
        <w:pStyle w:val="ListParagraph"/>
        <w:numPr>
          <w:ilvl w:val="0"/>
          <w:numId w:val="5"/>
        </w:numPr>
        <w:rPr>
          <w:rFonts w:cstheme="minorHAnsi"/>
          <w:sz w:val="24"/>
          <w:szCs w:val="24"/>
          <w:lang w:val="en-GB"/>
        </w:rPr>
      </w:pPr>
      <w:r>
        <w:rPr>
          <w:rFonts w:cstheme="minorHAnsi"/>
          <w:sz w:val="24"/>
          <w:szCs w:val="24"/>
          <w:lang w:val="en-GB"/>
        </w:rPr>
        <w:t>reliability</w:t>
      </w:r>
      <w:r w:rsidR="00966281" w:rsidRPr="00966281">
        <w:rPr>
          <w:rFonts w:cstheme="minorHAnsi"/>
          <w:sz w:val="24"/>
          <w:szCs w:val="24"/>
          <w:lang w:val="en-GB"/>
        </w:rPr>
        <w:t xml:space="preserve"> of the donor </w:t>
      </w:r>
      <w:r>
        <w:rPr>
          <w:rFonts w:cstheme="minorHAnsi"/>
          <w:sz w:val="24"/>
          <w:szCs w:val="24"/>
          <w:lang w:val="en-GB"/>
        </w:rPr>
        <w:t>infectious disease marker test</w:t>
      </w:r>
      <w:r w:rsidR="00966281" w:rsidRPr="00966281">
        <w:rPr>
          <w:rFonts w:cstheme="minorHAnsi"/>
          <w:sz w:val="24"/>
          <w:szCs w:val="24"/>
          <w:lang w:val="en-GB"/>
        </w:rPr>
        <w:t>ing kits, assays and other methods</w:t>
      </w:r>
    </w:p>
    <w:p w14:paraId="41B5B056" w14:textId="49A2D944" w:rsidR="00966281" w:rsidRDefault="00966281" w:rsidP="009A297D">
      <w:pPr>
        <w:pStyle w:val="ListParagraph"/>
        <w:numPr>
          <w:ilvl w:val="0"/>
          <w:numId w:val="5"/>
        </w:numPr>
        <w:rPr>
          <w:rFonts w:cstheme="minorHAnsi"/>
          <w:sz w:val="24"/>
          <w:szCs w:val="24"/>
          <w:lang w:val="en-GB"/>
        </w:rPr>
      </w:pPr>
      <w:r w:rsidRPr="006F3CC6">
        <w:rPr>
          <w:rFonts w:cstheme="minorHAnsi"/>
          <w:sz w:val="24"/>
          <w:szCs w:val="24"/>
          <w:lang w:val="en-GB"/>
        </w:rPr>
        <w:t xml:space="preserve">effectiveness of pathogen reduction </w:t>
      </w:r>
      <w:r>
        <w:rPr>
          <w:rFonts w:cstheme="minorHAnsi"/>
          <w:sz w:val="24"/>
          <w:szCs w:val="24"/>
          <w:lang w:val="en-GB"/>
        </w:rPr>
        <w:t>during BTC processing</w:t>
      </w:r>
    </w:p>
    <w:p w14:paraId="59D30B6D" w14:textId="288CAE42" w:rsidR="008A6D20" w:rsidRDefault="008A6D20" w:rsidP="009A297D">
      <w:pPr>
        <w:pStyle w:val="ListParagraph"/>
        <w:numPr>
          <w:ilvl w:val="0"/>
          <w:numId w:val="5"/>
        </w:numPr>
        <w:rPr>
          <w:rFonts w:cstheme="minorHAnsi"/>
          <w:sz w:val="24"/>
          <w:szCs w:val="24"/>
          <w:lang w:val="en-GB"/>
        </w:rPr>
      </w:pPr>
      <w:r w:rsidRPr="006F3CC6">
        <w:rPr>
          <w:rFonts w:cstheme="minorHAnsi"/>
          <w:sz w:val="24"/>
          <w:szCs w:val="24"/>
          <w:lang w:val="en-GB"/>
        </w:rPr>
        <w:t>effectiveness of sterilisation methods</w:t>
      </w:r>
      <w:r>
        <w:rPr>
          <w:rFonts w:cstheme="minorHAnsi"/>
          <w:sz w:val="24"/>
          <w:szCs w:val="24"/>
          <w:lang w:val="en-GB"/>
        </w:rPr>
        <w:t xml:space="preserve"> during BTC processing</w:t>
      </w:r>
    </w:p>
    <w:p w14:paraId="6FBAF9FE" w14:textId="12171D27" w:rsidR="00966281" w:rsidRPr="006F3CC6" w:rsidRDefault="00966281" w:rsidP="009A297D">
      <w:pPr>
        <w:pStyle w:val="ListParagraph"/>
        <w:numPr>
          <w:ilvl w:val="0"/>
          <w:numId w:val="5"/>
        </w:numPr>
        <w:rPr>
          <w:rFonts w:cstheme="minorHAnsi"/>
          <w:sz w:val="24"/>
          <w:szCs w:val="24"/>
          <w:lang w:val="en-GB"/>
        </w:rPr>
      </w:pPr>
      <w:r w:rsidRPr="0038502B">
        <w:rPr>
          <w:rFonts w:cstheme="minorHAnsi"/>
          <w:sz w:val="24"/>
          <w:szCs w:val="24"/>
        </w:rPr>
        <w:t>microbi</w:t>
      </w:r>
      <w:r>
        <w:rPr>
          <w:rFonts w:cstheme="minorHAnsi"/>
          <w:sz w:val="24"/>
          <w:szCs w:val="24"/>
        </w:rPr>
        <w:t>ological</w:t>
      </w:r>
      <w:r w:rsidRPr="0038502B">
        <w:rPr>
          <w:rFonts w:cstheme="minorHAnsi"/>
          <w:sz w:val="24"/>
          <w:szCs w:val="24"/>
        </w:rPr>
        <w:t xml:space="preserve"> status of final products</w:t>
      </w:r>
    </w:p>
    <w:p w14:paraId="562BF3A3" w14:textId="63449C96" w:rsidR="00934A71" w:rsidRDefault="0038502B" w:rsidP="006F3CC6">
      <w:pPr>
        <w:rPr>
          <w:rFonts w:cstheme="minorHAnsi"/>
          <w:sz w:val="24"/>
          <w:szCs w:val="24"/>
        </w:rPr>
      </w:pPr>
      <w:r w:rsidRPr="0038502B">
        <w:rPr>
          <w:rFonts w:cstheme="minorHAnsi"/>
          <w:sz w:val="24"/>
          <w:szCs w:val="24"/>
        </w:rPr>
        <w:t xml:space="preserve">The safety will be assessed for microbiological pathogens like </w:t>
      </w:r>
      <w:r w:rsidR="00664146">
        <w:rPr>
          <w:rFonts w:cstheme="minorHAnsi"/>
          <w:sz w:val="24"/>
          <w:szCs w:val="24"/>
        </w:rPr>
        <w:t xml:space="preserve">bacteria, </w:t>
      </w:r>
      <w:r w:rsidRPr="0038502B">
        <w:rPr>
          <w:rFonts w:cstheme="minorHAnsi"/>
          <w:sz w:val="24"/>
          <w:szCs w:val="24"/>
        </w:rPr>
        <w:t>fungi, viruses and other kind of agents (e.g. prions)</w:t>
      </w:r>
      <w:r>
        <w:rPr>
          <w:rFonts w:cstheme="minorHAnsi"/>
          <w:sz w:val="24"/>
          <w:szCs w:val="24"/>
        </w:rPr>
        <w:t xml:space="preserve"> (as defined by GAPP).</w:t>
      </w:r>
    </w:p>
    <w:p w14:paraId="5A380CFE" w14:textId="77777777" w:rsidR="00DF72E9" w:rsidRPr="0038502B" w:rsidRDefault="00DF72E9" w:rsidP="006F3CC6">
      <w:pPr>
        <w:rPr>
          <w:rFonts w:cstheme="minorHAnsi"/>
          <w:sz w:val="24"/>
          <w:szCs w:val="24"/>
        </w:rPr>
      </w:pPr>
    </w:p>
    <w:p w14:paraId="2417AED6" w14:textId="004BFB48" w:rsidR="006F3CC6" w:rsidRDefault="006F3CC6" w:rsidP="00DF72E9">
      <w:pPr>
        <w:pStyle w:val="Heading1"/>
      </w:pPr>
      <w:bookmarkStart w:id="5" w:name="_Toc41427144"/>
      <w:r w:rsidRPr="006F3CC6">
        <w:t>Scope</w:t>
      </w:r>
      <w:bookmarkEnd w:id="5"/>
    </w:p>
    <w:p w14:paraId="0B915E46" w14:textId="77777777" w:rsidR="00DF72E9" w:rsidRDefault="00DF72E9" w:rsidP="00946AA7">
      <w:pPr>
        <w:spacing w:before="240"/>
        <w:jc w:val="both"/>
        <w:rPr>
          <w:sz w:val="24"/>
          <w:szCs w:val="24"/>
        </w:rPr>
      </w:pPr>
    </w:p>
    <w:p w14:paraId="314CE460" w14:textId="15B994E2" w:rsidR="00946AA7" w:rsidRPr="00946AA7" w:rsidRDefault="00946AA7" w:rsidP="00946AA7">
      <w:pPr>
        <w:spacing w:before="240"/>
        <w:jc w:val="both"/>
        <w:rPr>
          <w:sz w:val="24"/>
          <w:szCs w:val="24"/>
        </w:rPr>
      </w:pPr>
      <w:r w:rsidRPr="00946AA7">
        <w:rPr>
          <w:sz w:val="24"/>
          <w:szCs w:val="24"/>
        </w:rPr>
        <w:t>The content of this document only applies to BTC and their applica</w:t>
      </w:r>
      <w:r>
        <w:rPr>
          <w:sz w:val="24"/>
          <w:szCs w:val="24"/>
        </w:rPr>
        <w:t xml:space="preserve">tions as regulated by </w:t>
      </w:r>
      <w:r w:rsidR="003707CF">
        <w:rPr>
          <w:sz w:val="24"/>
          <w:szCs w:val="24"/>
        </w:rPr>
        <w:t>the EU Blood, Tissues and Cells Directives (</w:t>
      </w:r>
      <w:r>
        <w:rPr>
          <w:sz w:val="24"/>
          <w:szCs w:val="24"/>
        </w:rPr>
        <w:t>EUBTCD</w:t>
      </w:r>
      <w:r w:rsidR="003707CF">
        <w:rPr>
          <w:sz w:val="24"/>
          <w:szCs w:val="24"/>
        </w:rPr>
        <w:t xml:space="preserve">) </w:t>
      </w:r>
      <w:r>
        <w:rPr>
          <w:sz w:val="24"/>
          <w:szCs w:val="24"/>
        </w:rPr>
        <w:t>(ref.</w:t>
      </w:r>
      <w:r w:rsidR="003707CF" w:rsidRPr="00221AAB">
        <w:rPr>
          <w:sz w:val="24"/>
          <w:szCs w:val="24"/>
        </w:rPr>
        <w:t>2-8</w:t>
      </w:r>
      <w:r>
        <w:rPr>
          <w:sz w:val="24"/>
          <w:szCs w:val="24"/>
        </w:rPr>
        <w:t>)</w:t>
      </w:r>
      <w:r w:rsidRPr="00946AA7">
        <w:rPr>
          <w:sz w:val="24"/>
          <w:szCs w:val="24"/>
        </w:rPr>
        <w:t xml:space="preserve">, and all novel BTC that are not currently covered by other regulations. </w:t>
      </w:r>
    </w:p>
    <w:p w14:paraId="29DC502A" w14:textId="47C0EFC7" w:rsidR="00946AA7" w:rsidRDefault="00946AA7" w:rsidP="00946AA7">
      <w:pPr>
        <w:spacing w:before="240"/>
        <w:jc w:val="both"/>
        <w:rPr>
          <w:sz w:val="24"/>
          <w:szCs w:val="24"/>
        </w:rPr>
      </w:pPr>
      <w:r w:rsidRPr="00946AA7">
        <w:rPr>
          <w:sz w:val="24"/>
          <w:szCs w:val="24"/>
        </w:rPr>
        <w:t xml:space="preserve">BTCs that are subject to </w:t>
      </w:r>
      <w:r w:rsidRPr="000A3A6E">
        <w:rPr>
          <w:i/>
          <w:sz w:val="24"/>
          <w:szCs w:val="24"/>
        </w:rPr>
        <w:t>substantial manipulation</w:t>
      </w:r>
      <w:r w:rsidRPr="00946AA7">
        <w:rPr>
          <w:sz w:val="24"/>
          <w:szCs w:val="24"/>
        </w:rPr>
        <w:t xml:space="preserve"> or that are </w:t>
      </w:r>
      <w:r w:rsidRPr="000A3A6E">
        <w:rPr>
          <w:i/>
          <w:sz w:val="24"/>
          <w:szCs w:val="24"/>
        </w:rPr>
        <w:t>not intended to be used for the same essential function or functions in the recipient as in the donor</w:t>
      </w:r>
      <w:r w:rsidRPr="00946AA7">
        <w:rPr>
          <w:sz w:val="24"/>
          <w:szCs w:val="24"/>
        </w:rPr>
        <w:t xml:space="preserve"> (as defined in Advanced Therapy Medicinal P</w:t>
      </w:r>
      <w:r w:rsidR="007A246B">
        <w:rPr>
          <w:sz w:val="24"/>
          <w:szCs w:val="24"/>
        </w:rPr>
        <w:t>roduct Regulation 1394/2007/EC</w:t>
      </w:r>
      <w:r w:rsidRPr="00946AA7">
        <w:rPr>
          <w:sz w:val="24"/>
          <w:szCs w:val="24"/>
        </w:rPr>
        <w:t xml:space="preserve">), </w:t>
      </w:r>
      <w:r w:rsidR="006400D7">
        <w:rPr>
          <w:sz w:val="24"/>
          <w:szCs w:val="24"/>
        </w:rPr>
        <w:t xml:space="preserve">BTC </w:t>
      </w:r>
      <w:r w:rsidRPr="00946AA7">
        <w:rPr>
          <w:sz w:val="24"/>
          <w:szCs w:val="24"/>
        </w:rPr>
        <w:t>products classified as Medical Devices and other Medicinal products (such as plasma-derived medicinal products), are not part of the scope of the GAPP Joint Action.</w:t>
      </w:r>
      <w:r w:rsidR="00A61FD5">
        <w:rPr>
          <w:sz w:val="24"/>
          <w:szCs w:val="24"/>
        </w:rPr>
        <w:t xml:space="preserve"> Donation, procurement and testing of BTCs intended for ATMP manufacturing fall under </w:t>
      </w:r>
      <w:r w:rsidR="00AC3B83" w:rsidRPr="00946AA7">
        <w:rPr>
          <w:sz w:val="24"/>
          <w:szCs w:val="24"/>
        </w:rPr>
        <w:t xml:space="preserve">the </w:t>
      </w:r>
      <w:r w:rsidR="00AC3B83">
        <w:rPr>
          <w:sz w:val="24"/>
          <w:szCs w:val="24"/>
        </w:rPr>
        <w:t xml:space="preserve">scope of the </w:t>
      </w:r>
      <w:r w:rsidR="00AC3B83" w:rsidRPr="00946AA7">
        <w:rPr>
          <w:sz w:val="24"/>
          <w:szCs w:val="24"/>
        </w:rPr>
        <w:t>GAPP Joint Action</w:t>
      </w:r>
      <w:r w:rsidR="00A61FD5">
        <w:rPr>
          <w:sz w:val="24"/>
          <w:szCs w:val="24"/>
        </w:rPr>
        <w:t>.</w:t>
      </w:r>
    </w:p>
    <w:p w14:paraId="3C1443A6" w14:textId="0F93ACC4" w:rsidR="00AC3B83" w:rsidRDefault="00AC3B83" w:rsidP="00946AA7">
      <w:pPr>
        <w:spacing w:before="240"/>
        <w:jc w:val="both"/>
        <w:rPr>
          <w:sz w:val="24"/>
          <w:szCs w:val="24"/>
        </w:rPr>
      </w:pPr>
      <w:r>
        <w:rPr>
          <w:sz w:val="24"/>
          <w:szCs w:val="24"/>
        </w:rPr>
        <w:t xml:space="preserve">BTC donor and product testing procedures </w:t>
      </w:r>
      <w:r w:rsidR="00260ED3">
        <w:rPr>
          <w:sz w:val="24"/>
          <w:szCs w:val="24"/>
        </w:rPr>
        <w:t xml:space="preserve">themselves </w:t>
      </w:r>
      <w:r>
        <w:rPr>
          <w:sz w:val="24"/>
          <w:szCs w:val="24"/>
        </w:rPr>
        <w:t>are not in the scope of this guidance.</w:t>
      </w:r>
    </w:p>
    <w:p w14:paraId="549E161C" w14:textId="5DEEDD33" w:rsidR="00CA4BD6" w:rsidRDefault="00946AA7" w:rsidP="00946AA7">
      <w:pPr>
        <w:spacing w:before="240"/>
        <w:jc w:val="both"/>
        <w:rPr>
          <w:rFonts w:cstheme="minorHAnsi"/>
          <w:sz w:val="24"/>
          <w:szCs w:val="24"/>
          <w:lang w:val="en-GB"/>
        </w:rPr>
      </w:pPr>
      <w:r>
        <w:rPr>
          <w:rFonts w:cstheme="minorHAnsi"/>
          <w:sz w:val="24"/>
          <w:szCs w:val="24"/>
        </w:rPr>
        <w:t>Furthermore, t</w:t>
      </w:r>
      <w:r w:rsidR="00CA4BD6">
        <w:rPr>
          <w:rFonts w:cstheme="minorHAnsi"/>
          <w:sz w:val="24"/>
          <w:szCs w:val="24"/>
        </w:rPr>
        <w:t>his guidance</w:t>
      </w:r>
      <w:r w:rsidR="00CA4BD6" w:rsidRPr="00AC1386">
        <w:rPr>
          <w:rFonts w:cstheme="minorHAnsi"/>
          <w:sz w:val="24"/>
          <w:szCs w:val="24"/>
          <w:lang w:val="en-GB"/>
        </w:rPr>
        <w:t xml:space="preserve"> does not extend to the assessment of activities such as </w:t>
      </w:r>
      <w:r w:rsidR="00CA4BD6">
        <w:rPr>
          <w:rFonts w:cstheme="minorHAnsi"/>
          <w:sz w:val="24"/>
          <w:szCs w:val="24"/>
          <w:lang w:val="en-GB"/>
        </w:rPr>
        <w:t xml:space="preserve">aseptic working methods, </w:t>
      </w:r>
      <w:r w:rsidR="00CA4BD6" w:rsidRPr="00AC1386">
        <w:rPr>
          <w:rFonts w:cstheme="minorHAnsi"/>
          <w:sz w:val="24"/>
          <w:szCs w:val="24"/>
          <w:lang w:val="en-GB"/>
        </w:rPr>
        <w:t xml:space="preserve">cleanroom maintenance </w:t>
      </w:r>
      <w:r w:rsidR="00CA4BD6">
        <w:rPr>
          <w:rFonts w:cstheme="minorHAnsi"/>
          <w:sz w:val="24"/>
          <w:szCs w:val="24"/>
          <w:lang w:val="en-GB"/>
        </w:rPr>
        <w:t>or</w:t>
      </w:r>
      <w:r w:rsidR="00CA4BD6" w:rsidRPr="00AC1386">
        <w:rPr>
          <w:rFonts w:cstheme="minorHAnsi"/>
          <w:sz w:val="24"/>
          <w:szCs w:val="24"/>
          <w:lang w:val="en-GB"/>
        </w:rPr>
        <w:t xml:space="preserve"> environmental monitoring, which are assessed </w:t>
      </w:r>
      <w:r w:rsidR="00CA4BD6">
        <w:rPr>
          <w:rFonts w:cstheme="minorHAnsi"/>
          <w:sz w:val="24"/>
          <w:szCs w:val="24"/>
          <w:lang w:val="en-GB"/>
        </w:rPr>
        <w:t xml:space="preserve">by CAs </w:t>
      </w:r>
      <w:r w:rsidR="00CA4BD6" w:rsidRPr="00AC1386">
        <w:rPr>
          <w:rFonts w:cstheme="minorHAnsi"/>
          <w:sz w:val="24"/>
          <w:szCs w:val="24"/>
          <w:lang w:val="en-GB"/>
        </w:rPr>
        <w:t xml:space="preserve">during </w:t>
      </w:r>
      <w:r w:rsidR="00CA4BD6">
        <w:rPr>
          <w:rFonts w:cstheme="minorHAnsi"/>
          <w:sz w:val="24"/>
          <w:szCs w:val="24"/>
          <w:lang w:val="en-GB"/>
        </w:rPr>
        <w:t xml:space="preserve">the </w:t>
      </w:r>
      <w:r w:rsidR="00CA4BD6" w:rsidRPr="00AC1386">
        <w:rPr>
          <w:rFonts w:cstheme="minorHAnsi"/>
          <w:sz w:val="24"/>
          <w:szCs w:val="24"/>
          <w:lang w:val="en-GB"/>
        </w:rPr>
        <w:t>B</w:t>
      </w:r>
      <w:r w:rsidR="00A67D38">
        <w:rPr>
          <w:rFonts w:cstheme="minorHAnsi"/>
          <w:sz w:val="24"/>
          <w:szCs w:val="24"/>
          <w:lang w:val="en-GB"/>
        </w:rPr>
        <w:t xml:space="preserve">lood </w:t>
      </w:r>
      <w:r w:rsidR="007010FC">
        <w:rPr>
          <w:rFonts w:cstheme="minorHAnsi"/>
          <w:sz w:val="24"/>
          <w:szCs w:val="24"/>
          <w:lang w:val="en-GB"/>
        </w:rPr>
        <w:t>E</w:t>
      </w:r>
      <w:r w:rsidR="00A67D38">
        <w:rPr>
          <w:rFonts w:cstheme="minorHAnsi"/>
          <w:sz w:val="24"/>
          <w:szCs w:val="24"/>
          <w:lang w:val="en-GB"/>
        </w:rPr>
        <w:t>stablishment</w:t>
      </w:r>
      <w:r w:rsidR="00CA4BD6" w:rsidRPr="00AC1386">
        <w:rPr>
          <w:rFonts w:cstheme="minorHAnsi"/>
          <w:sz w:val="24"/>
          <w:szCs w:val="24"/>
          <w:lang w:val="en-GB"/>
        </w:rPr>
        <w:t>/T</w:t>
      </w:r>
      <w:r w:rsidR="00A67D38">
        <w:rPr>
          <w:rFonts w:cstheme="minorHAnsi"/>
          <w:sz w:val="24"/>
          <w:szCs w:val="24"/>
          <w:lang w:val="en-GB"/>
        </w:rPr>
        <w:t xml:space="preserve">issue </w:t>
      </w:r>
      <w:r w:rsidR="00CA4BD6" w:rsidRPr="00AC1386">
        <w:rPr>
          <w:rFonts w:cstheme="minorHAnsi"/>
          <w:sz w:val="24"/>
          <w:szCs w:val="24"/>
          <w:lang w:val="en-GB"/>
        </w:rPr>
        <w:t>E</w:t>
      </w:r>
      <w:r w:rsidR="00A67D38">
        <w:rPr>
          <w:rFonts w:cstheme="minorHAnsi"/>
          <w:sz w:val="24"/>
          <w:szCs w:val="24"/>
          <w:lang w:val="en-GB"/>
        </w:rPr>
        <w:t>stablishment (BE/TE)</w:t>
      </w:r>
      <w:r w:rsidR="00CA4BD6" w:rsidRPr="00AC1386">
        <w:rPr>
          <w:rFonts w:cstheme="minorHAnsi"/>
          <w:sz w:val="24"/>
          <w:szCs w:val="24"/>
          <w:lang w:val="en-GB"/>
        </w:rPr>
        <w:t xml:space="preserve"> inspections. Health and safety issues for staff are out of the scope of this guidance, as well.</w:t>
      </w:r>
    </w:p>
    <w:p w14:paraId="7DF3B1F3" w14:textId="77777777" w:rsidR="00197100" w:rsidRPr="00CA4BD6" w:rsidRDefault="00197100" w:rsidP="00197100">
      <w:pPr>
        <w:rPr>
          <w:lang w:val="en-GB"/>
        </w:rPr>
      </w:pPr>
    </w:p>
    <w:p w14:paraId="69A33049" w14:textId="69C6BFD8" w:rsidR="00D61EDE" w:rsidRDefault="00D61EDE" w:rsidP="009A297D">
      <w:pPr>
        <w:pStyle w:val="Heading1"/>
        <w:numPr>
          <w:ilvl w:val="0"/>
          <w:numId w:val="13"/>
        </w:numPr>
        <w:jc w:val="both"/>
      </w:pPr>
      <w:bookmarkStart w:id="6" w:name="_Toc41427145"/>
      <w:r>
        <w:lastRenderedPageBreak/>
        <w:t>General validation requirements</w:t>
      </w:r>
      <w:bookmarkEnd w:id="6"/>
    </w:p>
    <w:p w14:paraId="7690522A" w14:textId="77777777" w:rsidR="00503DE5" w:rsidRDefault="00503DE5" w:rsidP="003D50C6">
      <w:pPr>
        <w:jc w:val="both"/>
        <w:rPr>
          <w:sz w:val="24"/>
          <w:szCs w:val="24"/>
          <w:lang w:val="en-GB"/>
        </w:rPr>
      </w:pPr>
    </w:p>
    <w:p w14:paraId="7059F25E" w14:textId="55248F0A" w:rsidR="003D50C6" w:rsidRDefault="003D50C6" w:rsidP="003D50C6">
      <w:pPr>
        <w:jc w:val="both"/>
        <w:rPr>
          <w:sz w:val="24"/>
          <w:szCs w:val="24"/>
          <w:lang w:val="en-GB"/>
        </w:rPr>
      </w:pPr>
      <w:r w:rsidRPr="003D50C6">
        <w:rPr>
          <w:sz w:val="24"/>
          <w:szCs w:val="24"/>
          <w:lang w:val="en-GB"/>
        </w:rPr>
        <w:t xml:space="preserve">Validation is usually split into two components: qualification </w:t>
      </w:r>
      <w:r w:rsidR="005E5ECD">
        <w:rPr>
          <w:sz w:val="24"/>
          <w:szCs w:val="24"/>
          <w:lang w:val="en-GB"/>
        </w:rPr>
        <w:t xml:space="preserve">and process or </w:t>
      </w:r>
      <w:r w:rsidRPr="003D50C6">
        <w:rPr>
          <w:sz w:val="24"/>
          <w:szCs w:val="24"/>
          <w:lang w:val="en-GB"/>
        </w:rPr>
        <w:t xml:space="preserve">method validation. Each part of the process and individual items (including facilities, equipment, computer systems, materials and staff) should be qualified before they are first used in a process and re-qualified at predetermined intervals, or when significant changes are made. </w:t>
      </w:r>
      <w:r w:rsidR="00F25F42">
        <w:rPr>
          <w:sz w:val="24"/>
          <w:szCs w:val="24"/>
          <w:lang w:val="en-GB"/>
        </w:rPr>
        <w:t xml:space="preserve">Process or </w:t>
      </w:r>
      <w:r w:rsidRPr="003D50C6">
        <w:rPr>
          <w:sz w:val="24"/>
          <w:szCs w:val="24"/>
          <w:lang w:val="en-GB"/>
        </w:rPr>
        <w:t xml:space="preserve">method validation should only be performed once all the items used have been qualified. Process </w:t>
      </w:r>
      <w:r w:rsidR="00232AF1">
        <w:rPr>
          <w:sz w:val="24"/>
          <w:szCs w:val="24"/>
          <w:lang w:val="en-GB"/>
        </w:rPr>
        <w:t xml:space="preserve">or method </w:t>
      </w:r>
      <w:r w:rsidRPr="003D50C6">
        <w:rPr>
          <w:sz w:val="24"/>
          <w:szCs w:val="24"/>
          <w:lang w:val="en-GB"/>
        </w:rPr>
        <w:t>validation should be performed before a new process or method is used routinely</w:t>
      </w:r>
      <w:r w:rsidR="00232AF1">
        <w:rPr>
          <w:sz w:val="24"/>
          <w:szCs w:val="24"/>
          <w:lang w:val="en-GB"/>
        </w:rPr>
        <w:t>.</w:t>
      </w:r>
      <w:r w:rsidRPr="003D50C6">
        <w:rPr>
          <w:sz w:val="24"/>
          <w:szCs w:val="24"/>
          <w:lang w:val="en-GB"/>
        </w:rPr>
        <w:t xml:space="preserve"> (</w:t>
      </w:r>
      <w:r w:rsidR="00232AF1">
        <w:rPr>
          <w:sz w:val="24"/>
          <w:szCs w:val="24"/>
          <w:lang w:val="en-GB"/>
        </w:rPr>
        <w:t>A</w:t>
      </w:r>
      <w:r w:rsidRPr="003D50C6">
        <w:rPr>
          <w:sz w:val="24"/>
          <w:szCs w:val="24"/>
          <w:lang w:val="en-GB"/>
        </w:rPr>
        <w:t>dapted from EDQM T&amp;C Guide, chapter 2.16.1</w:t>
      </w:r>
      <w:r w:rsidR="00C2049E">
        <w:rPr>
          <w:sz w:val="24"/>
          <w:szCs w:val="24"/>
          <w:lang w:val="en-GB"/>
        </w:rPr>
        <w:t>.</w:t>
      </w:r>
      <w:r w:rsidRPr="003D50C6">
        <w:rPr>
          <w:sz w:val="24"/>
          <w:szCs w:val="24"/>
          <w:lang w:val="en-GB"/>
        </w:rPr>
        <w:t>)</w:t>
      </w:r>
      <w:r w:rsidR="000315B7">
        <w:rPr>
          <w:sz w:val="24"/>
          <w:szCs w:val="24"/>
          <w:lang w:val="en-GB"/>
        </w:rPr>
        <w:t xml:space="preserve"> Retrospective validation is no longer an acceptable approach (</w:t>
      </w:r>
      <w:r w:rsidR="000315B7">
        <w:rPr>
          <w:rFonts w:cstheme="minorHAnsi"/>
          <w:sz w:val="24"/>
          <w:szCs w:val="24"/>
        </w:rPr>
        <w:t>Directive (EU) 2016/1214 Art. 1, Good Practice Guidelines 4.4.1.2).</w:t>
      </w:r>
    </w:p>
    <w:p w14:paraId="6E53033D" w14:textId="324E96D4" w:rsidR="0046216A" w:rsidRPr="003D50C6" w:rsidRDefault="0046216A" w:rsidP="003D50C6">
      <w:pPr>
        <w:jc w:val="both"/>
        <w:rPr>
          <w:sz w:val="24"/>
          <w:szCs w:val="24"/>
          <w:lang w:val="en-GB"/>
        </w:rPr>
      </w:pPr>
      <w:r>
        <w:rPr>
          <w:sz w:val="24"/>
          <w:szCs w:val="24"/>
          <w:lang w:val="en-GB"/>
        </w:rPr>
        <w:t>The key elements of the site qualification and validation programme should be clearly defined and documented in a validation master plan or equivalent document (</w:t>
      </w:r>
      <w:r>
        <w:rPr>
          <w:rFonts w:cstheme="minorHAnsi"/>
          <w:sz w:val="24"/>
          <w:szCs w:val="24"/>
        </w:rPr>
        <w:t xml:space="preserve">Directive (EU) 2016/1214 Art. 1, Good Practice Guidelines 4.3.2.3-4). </w:t>
      </w:r>
    </w:p>
    <w:p w14:paraId="45B3E8F9" w14:textId="0993775C" w:rsidR="003D50C6" w:rsidRPr="003D50C6" w:rsidRDefault="00BD76AC" w:rsidP="003D50C6">
      <w:pPr>
        <w:jc w:val="both"/>
        <w:rPr>
          <w:sz w:val="24"/>
          <w:szCs w:val="24"/>
          <w:lang w:val="en-GB"/>
        </w:rPr>
      </w:pPr>
      <w:r>
        <w:rPr>
          <w:sz w:val="24"/>
          <w:szCs w:val="24"/>
          <w:lang w:val="en-GB"/>
        </w:rPr>
        <w:t>Process or method</w:t>
      </w:r>
      <w:r w:rsidR="003D50C6" w:rsidRPr="003D50C6">
        <w:rPr>
          <w:sz w:val="24"/>
          <w:szCs w:val="24"/>
          <w:lang w:val="en-GB"/>
        </w:rPr>
        <w:t xml:space="preserve"> to be used and acceptance criteria should be documented in a validation plan and approved by the </w:t>
      </w:r>
      <w:r>
        <w:rPr>
          <w:sz w:val="24"/>
          <w:szCs w:val="24"/>
          <w:lang w:val="en-GB"/>
        </w:rPr>
        <w:t>organisation</w:t>
      </w:r>
      <w:r w:rsidR="003D50C6" w:rsidRPr="003D50C6">
        <w:rPr>
          <w:sz w:val="24"/>
          <w:szCs w:val="24"/>
          <w:lang w:val="en-GB"/>
        </w:rPr>
        <w:t xml:space="preserve"> management before qualification or process</w:t>
      </w:r>
      <w:r>
        <w:rPr>
          <w:sz w:val="24"/>
          <w:szCs w:val="24"/>
          <w:lang w:val="en-GB"/>
        </w:rPr>
        <w:t>/method</w:t>
      </w:r>
      <w:r w:rsidR="003D50C6" w:rsidRPr="003D50C6">
        <w:rPr>
          <w:sz w:val="24"/>
          <w:szCs w:val="24"/>
          <w:lang w:val="en-GB"/>
        </w:rPr>
        <w:t xml:space="preserve"> validation commences. The results of the validation compared with the acceptance criteria and any deviation from the validation plan should be recorded </w:t>
      </w:r>
      <w:r w:rsidR="000B7533">
        <w:rPr>
          <w:sz w:val="24"/>
          <w:szCs w:val="24"/>
          <w:lang w:val="en-GB"/>
        </w:rPr>
        <w:t xml:space="preserve">and fully investigated </w:t>
      </w:r>
      <w:r w:rsidR="003D50C6" w:rsidRPr="003D50C6">
        <w:rPr>
          <w:sz w:val="24"/>
          <w:szCs w:val="24"/>
          <w:lang w:val="en-GB"/>
        </w:rPr>
        <w:t xml:space="preserve">during the validation and documented in validation report, including a conclusion. Following validation, the acceptance or rejection of the process by designated </w:t>
      </w:r>
      <w:r>
        <w:rPr>
          <w:sz w:val="24"/>
          <w:szCs w:val="24"/>
          <w:lang w:val="en-GB"/>
        </w:rPr>
        <w:t>organisation</w:t>
      </w:r>
      <w:r w:rsidRPr="003D50C6">
        <w:rPr>
          <w:sz w:val="24"/>
          <w:szCs w:val="24"/>
          <w:lang w:val="en-GB"/>
        </w:rPr>
        <w:t xml:space="preserve"> </w:t>
      </w:r>
      <w:r w:rsidR="003D50C6" w:rsidRPr="003D50C6">
        <w:rPr>
          <w:sz w:val="24"/>
          <w:szCs w:val="24"/>
          <w:lang w:val="en-GB"/>
        </w:rPr>
        <w:t>management should be documented</w:t>
      </w:r>
      <w:r>
        <w:rPr>
          <w:sz w:val="24"/>
          <w:szCs w:val="24"/>
          <w:lang w:val="en-GB"/>
        </w:rPr>
        <w:t>.</w:t>
      </w:r>
      <w:r w:rsidR="003D50C6" w:rsidRPr="003D50C6">
        <w:rPr>
          <w:sz w:val="24"/>
          <w:szCs w:val="24"/>
          <w:lang w:val="en-GB"/>
        </w:rPr>
        <w:t xml:space="preserve"> (</w:t>
      </w:r>
      <w:r>
        <w:rPr>
          <w:sz w:val="24"/>
          <w:szCs w:val="24"/>
          <w:lang w:val="en-GB"/>
        </w:rPr>
        <w:t xml:space="preserve">Adapted from </w:t>
      </w:r>
      <w:r w:rsidR="003D50C6" w:rsidRPr="003D50C6">
        <w:rPr>
          <w:sz w:val="24"/>
          <w:szCs w:val="24"/>
          <w:lang w:val="en-GB"/>
        </w:rPr>
        <w:t>EDQM T&amp;C Guide, chapter 2.16</w:t>
      </w:r>
      <w:r>
        <w:rPr>
          <w:sz w:val="24"/>
          <w:szCs w:val="24"/>
          <w:lang w:val="en-GB"/>
        </w:rPr>
        <w:t>.1</w:t>
      </w:r>
      <w:r w:rsidR="00B53086">
        <w:rPr>
          <w:sz w:val="24"/>
          <w:szCs w:val="24"/>
          <w:lang w:val="en-GB"/>
        </w:rPr>
        <w:t>.</w:t>
      </w:r>
      <w:r>
        <w:rPr>
          <w:sz w:val="24"/>
          <w:szCs w:val="24"/>
          <w:lang w:val="en-GB"/>
        </w:rPr>
        <w:t>)</w:t>
      </w:r>
      <w:r w:rsidR="00B10EAE" w:rsidRPr="00B10EAE">
        <w:rPr>
          <w:sz w:val="24"/>
          <w:szCs w:val="24"/>
          <w:lang w:val="en-GB"/>
        </w:rPr>
        <w:t xml:space="preserve"> </w:t>
      </w:r>
      <w:r w:rsidR="000315B7">
        <w:rPr>
          <w:sz w:val="24"/>
          <w:szCs w:val="24"/>
          <w:lang w:val="en-GB"/>
        </w:rPr>
        <w:t>Equipment, facilities</w:t>
      </w:r>
      <w:r w:rsidR="00D37AC6">
        <w:rPr>
          <w:sz w:val="24"/>
          <w:szCs w:val="24"/>
          <w:lang w:val="en-GB"/>
        </w:rPr>
        <w:t>,</w:t>
      </w:r>
      <w:r w:rsidR="000315B7">
        <w:rPr>
          <w:sz w:val="24"/>
          <w:szCs w:val="24"/>
          <w:lang w:val="en-GB"/>
        </w:rPr>
        <w:t xml:space="preserve"> systems</w:t>
      </w:r>
      <w:r w:rsidR="00D37AC6">
        <w:rPr>
          <w:sz w:val="24"/>
          <w:szCs w:val="24"/>
          <w:lang w:val="en-GB"/>
        </w:rPr>
        <w:t xml:space="preserve"> and processed</w:t>
      </w:r>
      <w:r w:rsidR="000315B7">
        <w:rPr>
          <w:sz w:val="24"/>
          <w:szCs w:val="24"/>
          <w:lang w:val="en-GB"/>
        </w:rPr>
        <w:t xml:space="preserve"> should be evaluated at an appropriate frequency to </w:t>
      </w:r>
      <w:r w:rsidR="00D37AC6">
        <w:rPr>
          <w:sz w:val="24"/>
          <w:szCs w:val="24"/>
          <w:lang w:val="en-GB"/>
        </w:rPr>
        <w:t>ensure</w:t>
      </w:r>
      <w:r w:rsidR="000315B7">
        <w:rPr>
          <w:sz w:val="24"/>
          <w:szCs w:val="24"/>
          <w:lang w:val="en-GB"/>
        </w:rPr>
        <w:t xml:space="preserve"> that they </w:t>
      </w:r>
      <w:r w:rsidR="00D37AC6">
        <w:rPr>
          <w:sz w:val="24"/>
          <w:szCs w:val="24"/>
          <w:lang w:val="en-GB"/>
        </w:rPr>
        <w:t xml:space="preserve">are </w:t>
      </w:r>
      <w:r w:rsidR="006F7FFB">
        <w:rPr>
          <w:sz w:val="24"/>
          <w:szCs w:val="24"/>
          <w:lang w:val="en-GB"/>
        </w:rPr>
        <w:t xml:space="preserve">still </w:t>
      </w:r>
      <w:r w:rsidR="00D37AC6">
        <w:rPr>
          <w:sz w:val="24"/>
          <w:szCs w:val="24"/>
          <w:lang w:val="en-GB"/>
        </w:rPr>
        <w:t>operating appropriately</w:t>
      </w:r>
      <w:r w:rsidR="000315B7">
        <w:rPr>
          <w:sz w:val="24"/>
          <w:szCs w:val="24"/>
          <w:lang w:val="en-GB"/>
        </w:rPr>
        <w:t xml:space="preserve"> (</w:t>
      </w:r>
      <w:r w:rsidR="000315B7">
        <w:rPr>
          <w:rFonts w:cstheme="minorHAnsi"/>
          <w:sz w:val="24"/>
          <w:szCs w:val="24"/>
        </w:rPr>
        <w:t xml:space="preserve">Directive (EU) 2016/1214 Art. 1, </w:t>
      </w:r>
      <w:r w:rsidR="00D37AC6">
        <w:rPr>
          <w:rFonts w:cstheme="minorHAnsi"/>
          <w:sz w:val="24"/>
          <w:szCs w:val="24"/>
        </w:rPr>
        <w:t>Good Practice Guidelines 4.4.1.6</w:t>
      </w:r>
      <w:r w:rsidR="000315B7">
        <w:rPr>
          <w:rFonts w:cstheme="minorHAnsi"/>
          <w:sz w:val="24"/>
          <w:szCs w:val="24"/>
        </w:rPr>
        <w:t xml:space="preserve">). </w:t>
      </w:r>
    </w:p>
    <w:p w14:paraId="21FD76CB" w14:textId="2A964757" w:rsidR="003D50C6" w:rsidRDefault="00BD76AC" w:rsidP="003D50C6">
      <w:pPr>
        <w:jc w:val="both"/>
        <w:rPr>
          <w:sz w:val="24"/>
          <w:szCs w:val="24"/>
          <w:lang w:val="en-GB"/>
        </w:rPr>
      </w:pPr>
      <w:r w:rsidRPr="003D50C6">
        <w:rPr>
          <w:sz w:val="24"/>
          <w:szCs w:val="24"/>
          <w:lang w:val="en-GB"/>
        </w:rPr>
        <w:t xml:space="preserve">If processes are contracted to external service providers it is required that responsibilities between </w:t>
      </w:r>
      <w:r w:rsidR="00B10EAE">
        <w:rPr>
          <w:sz w:val="24"/>
          <w:szCs w:val="24"/>
          <w:lang w:val="en-GB"/>
        </w:rPr>
        <w:t>BE/TE</w:t>
      </w:r>
      <w:r w:rsidRPr="003D50C6">
        <w:rPr>
          <w:sz w:val="24"/>
          <w:szCs w:val="24"/>
          <w:lang w:val="en-GB"/>
        </w:rPr>
        <w:t xml:space="preserve"> and service provider are clearly defined, and specifications regarding the whole process are designated. External service providers should meet the requirements of EUBTCD</w:t>
      </w:r>
      <w:r w:rsidR="00B53086">
        <w:rPr>
          <w:sz w:val="24"/>
          <w:szCs w:val="24"/>
          <w:lang w:val="en-GB"/>
        </w:rPr>
        <w:t xml:space="preserve"> (</w:t>
      </w:r>
      <w:r w:rsidR="00B53086" w:rsidRPr="00B53086">
        <w:rPr>
          <w:sz w:val="24"/>
          <w:szCs w:val="24"/>
          <w:highlight w:val="yellow"/>
          <w:lang w:val="en-GB"/>
        </w:rPr>
        <w:t>refs</w:t>
      </w:r>
      <w:r w:rsidR="00931426">
        <w:rPr>
          <w:sz w:val="24"/>
          <w:szCs w:val="24"/>
          <w:highlight w:val="yellow"/>
          <w:lang w:val="en-GB"/>
        </w:rPr>
        <w:t>:</w:t>
      </w:r>
      <w:r w:rsidR="00B53086" w:rsidRPr="00B53086">
        <w:rPr>
          <w:sz w:val="24"/>
          <w:szCs w:val="24"/>
          <w:highlight w:val="yellow"/>
          <w:lang w:val="en-GB"/>
        </w:rPr>
        <w:t xml:space="preserve"> directives</w:t>
      </w:r>
      <w:r w:rsidR="00931426">
        <w:rPr>
          <w:sz w:val="24"/>
          <w:szCs w:val="24"/>
          <w:lang w:val="en-GB"/>
        </w:rPr>
        <w:t>; need to be added</w:t>
      </w:r>
      <w:r w:rsidR="00B53086">
        <w:rPr>
          <w:sz w:val="24"/>
          <w:szCs w:val="24"/>
          <w:lang w:val="en-GB"/>
        </w:rPr>
        <w:t>)</w:t>
      </w:r>
      <w:r w:rsidRPr="003D50C6">
        <w:rPr>
          <w:sz w:val="24"/>
          <w:szCs w:val="24"/>
          <w:lang w:val="en-GB"/>
        </w:rPr>
        <w:t xml:space="preserve">. </w:t>
      </w:r>
      <w:r w:rsidR="00833FA2">
        <w:rPr>
          <w:sz w:val="24"/>
          <w:szCs w:val="24"/>
          <w:lang w:val="en-GB"/>
        </w:rPr>
        <w:t xml:space="preserve">Data supporting qualification and/or validation studies which were obtained from sources outside of the </w:t>
      </w:r>
      <w:r w:rsidR="00947FBE">
        <w:rPr>
          <w:sz w:val="24"/>
          <w:szCs w:val="24"/>
          <w:lang w:val="en-GB"/>
        </w:rPr>
        <w:t>establishment</w:t>
      </w:r>
      <w:r w:rsidR="00833FA2">
        <w:rPr>
          <w:sz w:val="24"/>
          <w:szCs w:val="24"/>
          <w:lang w:val="en-GB"/>
        </w:rPr>
        <w:t xml:space="preserve"> may be used provided that this approach has been justified and there is adequate assurance that controls were in place throughout the acquisition of such data (</w:t>
      </w:r>
      <w:r w:rsidR="00833FA2">
        <w:rPr>
          <w:rFonts w:cstheme="minorHAnsi"/>
          <w:sz w:val="24"/>
          <w:szCs w:val="24"/>
        </w:rPr>
        <w:t xml:space="preserve">Directive (EU) 2016/1214 Art. 1, Good Practice Guidelines 4.3.1.4). </w:t>
      </w:r>
    </w:p>
    <w:p w14:paraId="1F65D068" w14:textId="1246B64C" w:rsidR="00075E69" w:rsidRDefault="00F63817" w:rsidP="00931426">
      <w:pPr>
        <w:jc w:val="both"/>
        <w:rPr>
          <w:sz w:val="24"/>
          <w:szCs w:val="24"/>
        </w:rPr>
      </w:pPr>
      <w:r>
        <w:rPr>
          <w:sz w:val="24"/>
          <w:szCs w:val="24"/>
        </w:rPr>
        <w:t>In general, the process or method validation needs to be performed</w:t>
      </w:r>
      <w:r w:rsidR="00931426" w:rsidRPr="00931426">
        <w:rPr>
          <w:sz w:val="24"/>
          <w:szCs w:val="24"/>
        </w:rPr>
        <w:t xml:space="preserve"> once by each </w:t>
      </w:r>
      <w:r>
        <w:rPr>
          <w:sz w:val="24"/>
          <w:szCs w:val="24"/>
        </w:rPr>
        <w:t>organisation</w:t>
      </w:r>
      <w:r w:rsidR="00931426" w:rsidRPr="00931426">
        <w:rPr>
          <w:sz w:val="24"/>
          <w:szCs w:val="24"/>
        </w:rPr>
        <w:t xml:space="preserve">. If the </w:t>
      </w:r>
      <w:r>
        <w:rPr>
          <w:sz w:val="24"/>
          <w:szCs w:val="24"/>
        </w:rPr>
        <w:t>process or</w:t>
      </w:r>
      <w:r w:rsidR="00931426" w:rsidRPr="00931426">
        <w:rPr>
          <w:sz w:val="24"/>
          <w:szCs w:val="24"/>
        </w:rPr>
        <w:t xml:space="preserve"> method has been successfully </w:t>
      </w:r>
      <w:r>
        <w:rPr>
          <w:sz w:val="24"/>
          <w:szCs w:val="24"/>
        </w:rPr>
        <w:t xml:space="preserve">validated by any organisation, it </w:t>
      </w:r>
      <w:r w:rsidR="00931426" w:rsidRPr="00931426">
        <w:rPr>
          <w:sz w:val="24"/>
          <w:szCs w:val="24"/>
        </w:rPr>
        <w:t xml:space="preserve">may be transferred between </w:t>
      </w:r>
      <w:r>
        <w:rPr>
          <w:sz w:val="24"/>
          <w:szCs w:val="24"/>
        </w:rPr>
        <w:t>organisations</w:t>
      </w:r>
      <w:r w:rsidR="00931426" w:rsidRPr="00931426">
        <w:rPr>
          <w:sz w:val="24"/>
          <w:szCs w:val="24"/>
        </w:rPr>
        <w:t xml:space="preserve">. In this case the receiving </w:t>
      </w:r>
      <w:r>
        <w:rPr>
          <w:sz w:val="24"/>
          <w:szCs w:val="24"/>
        </w:rPr>
        <w:t>organisation</w:t>
      </w:r>
      <w:r w:rsidR="00931426" w:rsidRPr="00931426">
        <w:rPr>
          <w:sz w:val="24"/>
          <w:szCs w:val="24"/>
        </w:rPr>
        <w:t xml:space="preserve"> must repeat the </w:t>
      </w:r>
      <w:r>
        <w:rPr>
          <w:sz w:val="24"/>
          <w:szCs w:val="24"/>
        </w:rPr>
        <w:t>validation</w:t>
      </w:r>
      <w:r w:rsidR="00931426" w:rsidRPr="00931426">
        <w:rPr>
          <w:sz w:val="24"/>
          <w:szCs w:val="24"/>
        </w:rPr>
        <w:t xml:space="preserve"> to a reduced extent, guided by the sending </w:t>
      </w:r>
      <w:r>
        <w:rPr>
          <w:sz w:val="24"/>
          <w:szCs w:val="24"/>
        </w:rPr>
        <w:t>organisation</w:t>
      </w:r>
      <w:r w:rsidR="00931426" w:rsidRPr="00931426">
        <w:rPr>
          <w:sz w:val="24"/>
          <w:szCs w:val="24"/>
        </w:rPr>
        <w:t xml:space="preserve"> and in consent with the </w:t>
      </w:r>
      <w:r>
        <w:rPr>
          <w:sz w:val="24"/>
          <w:szCs w:val="24"/>
        </w:rPr>
        <w:t>relevant CA, if applicable in MS in question. This</w:t>
      </w:r>
      <w:r w:rsidR="00931426" w:rsidRPr="00931426">
        <w:rPr>
          <w:sz w:val="24"/>
          <w:szCs w:val="24"/>
        </w:rPr>
        <w:t xml:space="preserve"> </w:t>
      </w:r>
      <w:r>
        <w:rPr>
          <w:sz w:val="24"/>
          <w:szCs w:val="24"/>
        </w:rPr>
        <w:t>on-site validation</w:t>
      </w:r>
      <w:r w:rsidR="00931426" w:rsidRPr="00931426">
        <w:rPr>
          <w:sz w:val="24"/>
          <w:szCs w:val="24"/>
        </w:rPr>
        <w:t xml:space="preserve"> should focus on “worst case” </w:t>
      </w:r>
      <w:r w:rsidR="00931426" w:rsidRPr="00931426">
        <w:rPr>
          <w:sz w:val="24"/>
          <w:szCs w:val="24"/>
        </w:rPr>
        <w:lastRenderedPageBreak/>
        <w:t>conditions.</w:t>
      </w:r>
      <w:r w:rsidR="00A40FA6">
        <w:rPr>
          <w:sz w:val="24"/>
          <w:szCs w:val="24"/>
        </w:rPr>
        <w:t xml:space="preserve"> (See </w:t>
      </w:r>
      <w:r w:rsidR="00A40FA6" w:rsidRPr="00A40FA6">
        <w:rPr>
          <w:sz w:val="24"/>
          <w:szCs w:val="24"/>
        </w:rPr>
        <w:t>WHO guidelines on transfer of technology in pharmaceutical manufacturing, Annex</w:t>
      </w:r>
      <w:r w:rsidR="00A40FA6">
        <w:rPr>
          <w:sz w:val="24"/>
          <w:szCs w:val="24"/>
        </w:rPr>
        <w:t xml:space="preserve"> 7.)</w:t>
      </w:r>
    </w:p>
    <w:p w14:paraId="032002A4" w14:textId="7FB3864B" w:rsidR="00AE0918" w:rsidRPr="004D000E" w:rsidRDefault="0037273B" w:rsidP="003D50C6">
      <w:pPr>
        <w:jc w:val="both"/>
        <w:rPr>
          <w:sz w:val="24"/>
          <w:szCs w:val="24"/>
        </w:rPr>
      </w:pPr>
      <w:r w:rsidRPr="003A3325">
        <w:rPr>
          <w:sz w:val="24"/>
          <w:szCs w:val="24"/>
        </w:rPr>
        <w:t>Details concerning specifi</w:t>
      </w:r>
      <w:r w:rsidR="002A5E6D" w:rsidRPr="003A3325">
        <w:rPr>
          <w:sz w:val="24"/>
          <w:szCs w:val="24"/>
        </w:rPr>
        <w:t>ci</w:t>
      </w:r>
      <w:r w:rsidRPr="003A3325">
        <w:rPr>
          <w:sz w:val="24"/>
          <w:szCs w:val="24"/>
        </w:rPr>
        <w:t>ty of v</w:t>
      </w:r>
      <w:r w:rsidR="00AE0918" w:rsidRPr="003A3325">
        <w:rPr>
          <w:sz w:val="24"/>
          <w:szCs w:val="24"/>
        </w:rPr>
        <w:t xml:space="preserve">alidation of </w:t>
      </w:r>
      <w:r w:rsidRPr="003A3325">
        <w:rPr>
          <w:sz w:val="24"/>
          <w:szCs w:val="24"/>
        </w:rPr>
        <w:t>donor testing, pathogen reduction and sterili</w:t>
      </w:r>
      <w:r w:rsidR="00FD7CD1" w:rsidRPr="003A3325">
        <w:rPr>
          <w:sz w:val="24"/>
          <w:szCs w:val="24"/>
        </w:rPr>
        <w:t>s</w:t>
      </w:r>
      <w:r w:rsidRPr="003A3325">
        <w:rPr>
          <w:sz w:val="24"/>
          <w:szCs w:val="24"/>
        </w:rPr>
        <w:t>ation will be described in the following chapters.</w:t>
      </w:r>
      <w:r>
        <w:rPr>
          <w:sz w:val="24"/>
          <w:szCs w:val="24"/>
        </w:rPr>
        <w:t xml:space="preserve"> </w:t>
      </w:r>
    </w:p>
    <w:p w14:paraId="1D7D32C6" w14:textId="77777777" w:rsidR="00D61EDE" w:rsidRPr="004D000E" w:rsidRDefault="00D61EDE" w:rsidP="003D50C6">
      <w:pPr>
        <w:ind w:left="360"/>
        <w:rPr>
          <w:rFonts w:asciiTheme="majorHAnsi" w:eastAsiaTheme="majorEastAsia" w:hAnsiTheme="majorHAnsi" w:cstheme="majorBidi"/>
          <w:color w:val="262626" w:themeColor="text1" w:themeTint="D9"/>
          <w:sz w:val="40"/>
          <w:szCs w:val="40"/>
        </w:rPr>
      </w:pPr>
    </w:p>
    <w:p w14:paraId="02B9DC34" w14:textId="58DAD20E" w:rsidR="0030005F" w:rsidRPr="00E14801" w:rsidRDefault="0030005F" w:rsidP="009A297D">
      <w:pPr>
        <w:pStyle w:val="Heading1"/>
        <w:numPr>
          <w:ilvl w:val="0"/>
          <w:numId w:val="13"/>
        </w:numPr>
        <w:jc w:val="both"/>
      </w:pPr>
      <w:bookmarkStart w:id="7" w:name="_Toc41427146"/>
      <w:r w:rsidRPr="00E14801">
        <w:t xml:space="preserve">Requirements and criteria for </w:t>
      </w:r>
      <w:r w:rsidR="00961004">
        <w:t xml:space="preserve">laboratories performing </w:t>
      </w:r>
      <w:r w:rsidRPr="00E14801">
        <w:t xml:space="preserve">donor </w:t>
      </w:r>
      <w:r w:rsidR="00934A71" w:rsidRPr="00E14801">
        <w:t>infectious</w:t>
      </w:r>
      <w:r w:rsidRPr="00E14801">
        <w:t xml:space="preserve"> </w:t>
      </w:r>
      <w:r w:rsidR="00934A71" w:rsidRPr="00E14801">
        <w:t>d</w:t>
      </w:r>
      <w:r w:rsidRPr="00E14801">
        <w:t xml:space="preserve">isease </w:t>
      </w:r>
      <w:r w:rsidR="00961004">
        <w:t xml:space="preserve">testing </w:t>
      </w:r>
      <w:r w:rsidRPr="00E14801">
        <w:t xml:space="preserve">and </w:t>
      </w:r>
      <w:bookmarkEnd w:id="1"/>
      <w:r w:rsidR="00934A71" w:rsidRPr="00E14801">
        <w:t>m</w:t>
      </w:r>
      <w:r w:rsidRPr="00E14801">
        <w:t>i</w:t>
      </w:r>
      <w:r w:rsidR="00934A71" w:rsidRPr="00E14801">
        <w:t xml:space="preserve">crobiological testing of </w:t>
      </w:r>
      <w:r w:rsidR="00F03B29">
        <w:t>BTC</w:t>
      </w:r>
      <w:bookmarkEnd w:id="7"/>
      <w:r w:rsidRPr="00E14801">
        <w:t xml:space="preserve"> </w:t>
      </w:r>
    </w:p>
    <w:p w14:paraId="40C99533" w14:textId="77777777" w:rsidR="00503DE5" w:rsidRDefault="00503DE5" w:rsidP="006F3CC6">
      <w:pPr>
        <w:jc w:val="both"/>
        <w:rPr>
          <w:sz w:val="24"/>
          <w:szCs w:val="24"/>
          <w:lang w:val="en-GB"/>
        </w:rPr>
      </w:pPr>
    </w:p>
    <w:p w14:paraId="503B2AC3" w14:textId="458EA6A9" w:rsidR="0030005F" w:rsidRDefault="0097032B" w:rsidP="006F3CC6">
      <w:pPr>
        <w:jc w:val="both"/>
        <w:rPr>
          <w:sz w:val="24"/>
          <w:szCs w:val="24"/>
        </w:rPr>
      </w:pPr>
      <w:r>
        <w:rPr>
          <w:sz w:val="24"/>
          <w:szCs w:val="24"/>
          <w:lang w:val="en-GB"/>
        </w:rPr>
        <w:t>Blood E</w:t>
      </w:r>
      <w:r w:rsidR="0030005F" w:rsidRPr="006F3CC6">
        <w:rPr>
          <w:sz w:val="24"/>
          <w:szCs w:val="24"/>
          <w:lang w:val="en-GB"/>
        </w:rPr>
        <w:t>stablishment</w:t>
      </w:r>
      <w:r w:rsidR="00503DE5">
        <w:rPr>
          <w:sz w:val="24"/>
          <w:szCs w:val="24"/>
          <w:lang w:val="en-GB"/>
        </w:rPr>
        <w:t>s</w:t>
      </w:r>
      <w:r w:rsidR="0030005F" w:rsidRPr="006F3CC6">
        <w:rPr>
          <w:sz w:val="24"/>
          <w:szCs w:val="24"/>
          <w:lang w:val="en-GB"/>
        </w:rPr>
        <w:t xml:space="preserve"> (BE) can perform </w:t>
      </w:r>
      <w:r>
        <w:rPr>
          <w:sz w:val="24"/>
          <w:szCs w:val="24"/>
        </w:rPr>
        <w:t xml:space="preserve">infectious </w:t>
      </w:r>
      <w:r w:rsidR="0030005F" w:rsidRPr="006F3CC6">
        <w:rPr>
          <w:sz w:val="24"/>
          <w:szCs w:val="24"/>
        </w:rPr>
        <w:t xml:space="preserve">disease </w:t>
      </w:r>
      <w:r w:rsidR="00961004">
        <w:rPr>
          <w:sz w:val="24"/>
          <w:szCs w:val="24"/>
          <w:lang w:val="en-GB"/>
        </w:rPr>
        <w:t>testi</w:t>
      </w:r>
      <w:r w:rsidR="0030005F" w:rsidRPr="006F3CC6">
        <w:rPr>
          <w:sz w:val="24"/>
          <w:szCs w:val="24"/>
          <w:lang w:val="en-GB"/>
        </w:rPr>
        <w:t xml:space="preserve">ng of </w:t>
      </w:r>
      <w:r w:rsidR="00CC7F78">
        <w:rPr>
          <w:sz w:val="24"/>
          <w:szCs w:val="24"/>
          <w:lang w:val="en-GB"/>
        </w:rPr>
        <w:t>blood</w:t>
      </w:r>
      <w:r w:rsidR="0030005F" w:rsidRPr="006F3CC6">
        <w:rPr>
          <w:sz w:val="24"/>
          <w:szCs w:val="24"/>
          <w:lang w:val="en-GB"/>
        </w:rPr>
        <w:t xml:space="preserve"> donors </w:t>
      </w:r>
      <w:r>
        <w:rPr>
          <w:sz w:val="24"/>
          <w:szCs w:val="24"/>
          <w:lang w:val="en-GB"/>
        </w:rPr>
        <w:t xml:space="preserve">by </w:t>
      </w:r>
      <w:r w:rsidR="0030005F" w:rsidRPr="006F3CC6">
        <w:rPr>
          <w:sz w:val="24"/>
          <w:szCs w:val="24"/>
          <w:lang w:val="en-GB"/>
        </w:rPr>
        <w:t>themselves</w:t>
      </w:r>
      <w:r w:rsidR="0030005F" w:rsidRPr="006F3CC6">
        <w:rPr>
          <w:sz w:val="24"/>
          <w:szCs w:val="24"/>
        </w:rPr>
        <w:t xml:space="preserve"> </w:t>
      </w:r>
      <w:r w:rsidR="0030005F" w:rsidRPr="006F3CC6">
        <w:rPr>
          <w:sz w:val="24"/>
          <w:szCs w:val="24"/>
          <w:lang w:val="en-GB"/>
        </w:rPr>
        <w:t xml:space="preserve">or </w:t>
      </w:r>
      <w:r w:rsidR="001B6DE7" w:rsidRPr="006F3CC6">
        <w:rPr>
          <w:sz w:val="24"/>
          <w:szCs w:val="24"/>
          <w:lang w:val="en-GB"/>
        </w:rPr>
        <w:t>they could contract this work to an appropr</w:t>
      </w:r>
      <w:r>
        <w:rPr>
          <w:sz w:val="24"/>
          <w:szCs w:val="24"/>
          <w:lang w:val="en-GB"/>
        </w:rPr>
        <w:t xml:space="preserve">iately qualified and competent </w:t>
      </w:r>
      <w:r w:rsidR="001B6DE7" w:rsidRPr="006F3CC6">
        <w:rPr>
          <w:sz w:val="24"/>
          <w:szCs w:val="24"/>
          <w:lang w:val="en-GB"/>
        </w:rPr>
        <w:t xml:space="preserve">external </w:t>
      </w:r>
      <w:r w:rsidR="0030005F" w:rsidRPr="006F3CC6">
        <w:rPr>
          <w:sz w:val="24"/>
          <w:szCs w:val="24"/>
          <w:lang w:val="en-GB"/>
        </w:rPr>
        <w:t>lab</w:t>
      </w:r>
      <w:r w:rsidR="00236D12">
        <w:rPr>
          <w:sz w:val="24"/>
          <w:szCs w:val="24"/>
          <w:lang w:val="en-GB"/>
        </w:rPr>
        <w:t>oratory selected by the BE (EDQM Blood Guide</w:t>
      </w:r>
      <w:r w:rsidR="0030005F" w:rsidRPr="006F3CC6">
        <w:rPr>
          <w:sz w:val="24"/>
          <w:szCs w:val="24"/>
          <w:lang w:val="en-GB"/>
        </w:rPr>
        <w:t>).</w:t>
      </w:r>
      <w:r w:rsidR="00CC7F78">
        <w:rPr>
          <w:sz w:val="24"/>
          <w:szCs w:val="24"/>
          <w:lang w:val="en-GB"/>
        </w:rPr>
        <w:t xml:space="preserve"> </w:t>
      </w:r>
      <w:r w:rsidR="00503DE5">
        <w:rPr>
          <w:sz w:val="24"/>
          <w:szCs w:val="24"/>
          <w:lang w:val="en-GB"/>
        </w:rPr>
        <w:t>Tissue Establishments (TE)</w:t>
      </w:r>
      <w:r w:rsidR="00CC7F78">
        <w:rPr>
          <w:sz w:val="24"/>
          <w:szCs w:val="24"/>
          <w:lang w:val="en-GB"/>
        </w:rPr>
        <w:t xml:space="preserve"> mainly contract tissue and cell donor testing to external laboratories, because tissue and cell </w:t>
      </w:r>
      <w:r w:rsidR="00CC7F78" w:rsidRPr="00CC7F78">
        <w:rPr>
          <w:sz w:val="24"/>
          <w:szCs w:val="24"/>
          <w:lang w:val="en-GB"/>
        </w:rPr>
        <w:t xml:space="preserve">donor testing must be carried out by a qualified laboratory, authorised as a testing centre by the </w:t>
      </w:r>
      <w:r w:rsidR="00133720">
        <w:rPr>
          <w:sz w:val="24"/>
          <w:szCs w:val="24"/>
          <w:lang w:val="en-GB"/>
        </w:rPr>
        <w:t>CA</w:t>
      </w:r>
      <w:r w:rsidR="00CC7F78" w:rsidRPr="00CC7F78">
        <w:rPr>
          <w:sz w:val="24"/>
          <w:szCs w:val="24"/>
          <w:lang w:val="en-GB"/>
        </w:rPr>
        <w:t xml:space="preserve"> in the </w:t>
      </w:r>
      <w:r w:rsidR="00133720">
        <w:rPr>
          <w:sz w:val="24"/>
          <w:szCs w:val="24"/>
          <w:lang w:val="en-GB"/>
        </w:rPr>
        <w:t xml:space="preserve">MS </w:t>
      </w:r>
      <w:r w:rsidR="00CC7F78" w:rsidRPr="00CC7F78">
        <w:rPr>
          <w:sz w:val="24"/>
          <w:szCs w:val="24"/>
          <w:lang w:val="en-GB"/>
        </w:rPr>
        <w:t>(Directive 2006/17/EC)</w:t>
      </w:r>
      <w:r w:rsidR="00CC7F78">
        <w:rPr>
          <w:sz w:val="24"/>
          <w:szCs w:val="24"/>
          <w:lang w:val="en-GB"/>
        </w:rPr>
        <w:t xml:space="preserve">. </w:t>
      </w:r>
      <w:r w:rsidR="00133720">
        <w:rPr>
          <w:sz w:val="24"/>
          <w:szCs w:val="24"/>
          <w:lang w:val="en-GB"/>
        </w:rPr>
        <w:t>These external laboratories</w:t>
      </w:r>
      <w:r w:rsidR="001B6DE7" w:rsidRPr="006F3CC6">
        <w:rPr>
          <w:sz w:val="24"/>
          <w:szCs w:val="24"/>
        </w:rPr>
        <w:t xml:space="preserve"> may</w:t>
      </w:r>
      <w:r w:rsidR="0030005F" w:rsidRPr="006F3CC6">
        <w:rPr>
          <w:sz w:val="24"/>
          <w:szCs w:val="24"/>
        </w:rPr>
        <w:t xml:space="preserve"> be part of a</w:t>
      </w:r>
      <w:r w:rsidR="0030005F" w:rsidRPr="006F3CC6">
        <w:rPr>
          <w:sz w:val="24"/>
          <w:szCs w:val="24"/>
          <w:lang w:val="en-GB"/>
        </w:rPr>
        <w:t xml:space="preserve"> hospital or private clinic, but </w:t>
      </w:r>
      <w:r w:rsidR="001B6DE7" w:rsidRPr="006F3CC6">
        <w:rPr>
          <w:sz w:val="24"/>
          <w:szCs w:val="24"/>
          <w:lang w:val="en-GB"/>
        </w:rPr>
        <w:t xml:space="preserve">may </w:t>
      </w:r>
      <w:r w:rsidR="0030005F" w:rsidRPr="006F3CC6">
        <w:rPr>
          <w:sz w:val="24"/>
          <w:szCs w:val="24"/>
          <w:lang w:val="en-GB"/>
        </w:rPr>
        <w:t>also</w:t>
      </w:r>
      <w:r w:rsidR="001B6DE7" w:rsidRPr="006F3CC6">
        <w:rPr>
          <w:sz w:val="24"/>
          <w:szCs w:val="24"/>
          <w:lang w:val="en-GB"/>
        </w:rPr>
        <w:t xml:space="preserve"> be</w:t>
      </w:r>
      <w:r w:rsidR="0030005F" w:rsidRPr="006F3CC6">
        <w:rPr>
          <w:sz w:val="24"/>
          <w:szCs w:val="24"/>
          <w:lang w:val="en-GB"/>
        </w:rPr>
        <w:t xml:space="preserve"> an independent enterprise</w:t>
      </w:r>
      <w:r w:rsidR="00133720">
        <w:rPr>
          <w:sz w:val="24"/>
          <w:szCs w:val="24"/>
          <w:lang w:val="en-GB"/>
        </w:rPr>
        <w:t>s</w:t>
      </w:r>
      <w:r w:rsidR="0030005F" w:rsidRPr="006F3CC6">
        <w:rPr>
          <w:sz w:val="24"/>
          <w:szCs w:val="24"/>
          <w:lang w:val="en-GB"/>
        </w:rPr>
        <w:t xml:space="preserve"> of</w:t>
      </w:r>
      <w:r w:rsidR="00E93F9F">
        <w:rPr>
          <w:sz w:val="24"/>
          <w:szCs w:val="24"/>
          <w:lang w:val="en-GB"/>
        </w:rPr>
        <w:t xml:space="preserve">fering the appropriate </w:t>
      </w:r>
      <w:r w:rsidR="00A707E3">
        <w:rPr>
          <w:sz w:val="24"/>
          <w:szCs w:val="24"/>
          <w:lang w:val="en-GB"/>
        </w:rPr>
        <w:t>testing</w:t>
      </w:r>
      <w:r w:rsidR="0030005F" w:rsidRPr="006F3CC6">
        <w:rPr>
          <w:sz w:val="24"/>
          <w:szCs w:val="24"/>
          <w:lang w:val="en-GB"/>
        </w:rPr>
        <w:t xml:space="preserve"> services. In addition to donor</w:t>
      </w:r>
      <w:r w:rsidR="00961004">
        <w:rPr>
          <w:sz w:val="24"/>
          <w:szCs w:val="24"/>
          <w:lang w:val="en-GB"/>
        </w:rPr>
        <w:t xml:space="preserve"> test</w:t>
      </w:r>
      <w:r w:rsidR="0030005F" w:rsidRPr="006F3CC6">
        <w:rPr>
          <w:sz w:val="24"/>
          <w:szCs w:val="24"/>
          <w:lang w:val="en-GB"/>
        </w:rPr>
        <w:t xml:space="preserve">ing, </w:t>
      </w:r>
      <w:r w:rsidR="001B6DE7" w:rsidRPr="006F3CC6">
        <w:rPr>
          <w:sz w:val="24"/>
          <w:szCs w:val="24"/>
          <w:lang w:val="en-GB"/>
        </w:rPr>
        <w:t xml:space="preserve">the laboratory </w:t>
      </w:r>
      <w:r w:rsidR="0030005F" w:rsidRPr="006F3CC6">
        <w:rPr>
          <w:sz w:val="24"/>
          <w:szCs w:val="24"/>
          <w:lang w:val="en-GB"/>
        </w:rPr>
        <w:t xml:space="preserve">can examine </w:t>
      </w:r>
      <w:r w:rsidR="0030005F" w:rsidRPr="006F3CC6">
        <w:rPr>
          <w:sz w:val="24"/>
          <w:szCs w:val="24"/>
        </w:rPr>
        <w:t xml:space="preserve">preparations of </w:t>
      </w:r>
      <w:r w:rsidR="00A707E3">
        <w:rPr>
          <w:sz w:val="24"/>
          <w:szCs w:val="24"/>
        </w:rPr>
        <w:t>BTC</w:t>
      </w:r>
      <w:r w:rsidR="0030005F" w:rsidRPr="006F3CC6">
        <w:rPr>
          <w:sz w:val="24"/>
          <w:szCs w:val="24"/>
        </w:rPr>
        <w:t xml:space="preserve"> to determine, measure or otherwise describe the presence or absence of various micro</w:t>
      </w:r>
      <w:r w:rsidR="00A707E3">
        <w:rPr>
          <w:sz w:val="24"/>
          <w:szCs w:val="24"/>
        </w:rPr>
        <w:t>-</w:t>
      </w:r>
      <w:r w:rsidR="00236D12">
        <w:rPr>
          <w:sz w:val="24"/>
          <w:szCs w:val="24"/>
        </w:rPr>
        <w:t>organisms (</w:t>
      </w:r>
      <w:r w:rsidR="009011D6">
        <w:rPr>
          <w:sz w:val="24"/>
          <w:szCs w:val="24"/>
          <w:lang w:val="en-GB"/>
        </w:rPr>
        <w:t>see chapter 6</w:t>
      </w:r>
      <w:r w:rsidR="0030005F" w:rsidRPr="006F3CC6">
        <w:rPr>
          <w:sz w:val="24"/>
          <w:szCs w:val="24"/>
        </w:rPr>
        <w:t xml:space="preserve">). Whether the laboratory </w:t>
      </w:r>
      <w:r w:rsidR="002E792E">
        <w:rPr>
          <w:sz w:val="24"/>
          <w:szCs w:val="24"/>
        </w:rPr>
        <w:t xml:space="preserve">performing these activities is </w:t>
      </w:r>
      <w:r w:rsidR="0030005F" w:rsidRPr="006F3CC6">
        <w:rPr>
          <w:sz w:val="24"/>
          <w:szCs w:val="24"/>
        </w:rPr>
        <w:t>part of the BE/TE or a third party offering its services to BE/TE, it must meet requirements laid down in</w:t>
      </w:r>
      <w:r w:rsidR="00A707E3">
        <w:rPr>
          <w:sz w:val="24"/>
          <w:szCs w:val="24"/>
        </w:rPr>
        <w:t xml:space="preserve"> the</w:t>
      </w:r>
      <w:r w:rsidR="002D11FA">
        <w:rPr>
          <w:sz w:val="24"/>
          <w:szCs w:val="24"/>
        </w:rPr>
        <w:t xml:space="preserve"> </w:t>
      </w:r>
      <w:r w:rsidR="0030005F" w:rsidRPr="006F3CC6">
        <w:rPr>
          <w:sz w:val="24"/>
          <w:szCs w:val="24"/>
        </w:rPr>
        <w:t>EUBTCD (</w:t>
      </w:r>
      <w:r w:rsidR="00C65B96">
        <w:rPr>
          <w:sz w:val="24"/>
          <w:szCs w:val="24"/>
        </w:rPr>
        <w:t>Directive 2002/98</w:t>
      </w:r>
      <w:r w:rsidR="0030005F" w:rsidRPr="006F3CC6">
        <w:rPr>
          <w:sz w:val="24"/>
          <w:szCs w:val="24"/>
        </w:rPr>
        <w:t xml:space="preserve">, </w:t>
      </w:r>
      <w:r w:rsidR="00C65B96">
        <w:rPr>
          <w:sz w:val="24"/>
          <w:szCs w:val="24"/>
        </w:rPr>
        <w:t>Directive 2004/23</w:t>
      </w:r>
      <w:r w:rsidR="0030005F" w:rsidRPr="006F3CC6">
        <w:rPr>
          <w:sz w:val="24"/>
          <w:szCs w:val="24"/>
        </w:rPr>
        <w:t>).</w:t>
      </w:r>
    </w:p>
    <w:p w14:paraId="4C50F9B4" w14:textId="465B1BAB" w:rsidR="00961004" w:rsidRDefault="00E93F9F" w:rsidP="009A297D">
      <w:pPr>
        <w:pStyle w:val="Heading2"/>
        <w:numPr>
          <w:ilvl w:val="1"/>
          <w:numId w:val="14"/>
        </w:numPr>
      </w:pPr>
      <w:bookmarkStart w:id="8" w:name="_Toc41427147"/>
      <w:r>
        <w:t>Testing and screening</w:t>
      </w:r>
      <w:r w:rsidR="00961004">
        <w:t xml:space="preserve"> of donors</w:t>
      </w:r>
      <w:bookmarkEnd w:id="8"/>
    </w:p>
    <w:p w14:paraId="19E6A0A4" w14:textId="51BFEAF4" w:rsidR="00961004" w:rsidRPr="00961004" w:rsidRDefault="00961004" w:rsidP="00961004">
      <w:pPr>
        <w:jc w:val="both"/>
        <w:rPr>
          <w:sz w:val="24"/>
          <w:szCs w:val="24"/>
        </w:rPr>
      </w:pPr>
      <w:r>
        <w:rPr>
          <w:sz w:val="24"/>
          <w:szCs w:val="24"/>
        </w:rPr>
        <w:t xml:space="preserve">Noun </w:t>
      </w:r>
      <w:r w:rsidRPr="00E246B7">
        <w:rPr>
          <w:i/>
          <w:sz w:val="24"/>
          <w:szCs w:val="24"/>
        </w:rPr>
        <w:t>testing</w:t>
      </w:r>
      <w:r>
        <w:rPr>
          <w:sz w:val="24"/>
          <w:szCs w:val="24"/>
        </w:rPr>
        <w:t xml:space="preserve"> is used in EUBTCD in the context of tissue and cell </w:t>
      </w:r>
      <w:r w:rsidRPr="00604C2E">
        <w:rPr>
          <w:sz w:val="24"/>
          <w:szCs w:val="24"/>
        </w:rPr>
        <w:t>donor and donation testing</w:t>
      </w:r>
      <w:r>
        <w:rPr>
          <w:sz w:val="24"/>
          <w:szCs w:val="24"/>
        </w:rPr>
        <w:t xml:space="preserve"> (2006/17/EC), </w:t>
      </w:r>
      <w:r w:rsidRPr="00604C2E">
        <w:rPr>
          <w:sz w:val="24"/>
          <w:szCs w:val="24"/>
        </w:rPr>
        <w:t>testin</w:t>
      </w:r>
      <w:r>
        <w:rPr>
          <w:sz w:val="24"/>
          <w:szCs w:val="24"/>
        </w:rPr>
        <w:t>g of blood and blood components and</w:t>
      </w:r>
      <w:r w:rsidRPr="00604C2E">
        <w:rPr>
          <w:sz w:val="24"/>
          <w:szCs w:val="24"/>
        </w:rPr>
        <w:t xml:space="preserve"> testing of </w:t>
      </w:r>
      <w:r>
        <w:rPr>
          <w:sz w:val="24"/>
          <w:szCs w:val="24"/>
        </w:rPr>
        <w:t xml:space="preserve">blood </w:t>
      </w:r>
      <w:r w:rsidRPr="00604C2E">
        <w:rPr>
          <w:sz w:val="24"/>
          <w:szCs w:val="24"/>
        </w:rPr>
        <w:t>donations</w:t>
      </w:r>
      <w:r w:rsidR="00C65B96">
        <w:rPr>
          <w:sz w:val="24"/>
          <w:szCs w:val="24"/>
        </w:rPr>
        <w:t xml:space="preserve"> (2002/98/EC</w:t>
      </w:r>
      <w:r>
        <w:rPr>
          <w:sz w:val="24"/>
          <w:szCs w:val="24"/>
        </w:rPr>
        <w:t xml:space="preserve">). Otherwise, instead of </w:t>
      </w:r>
      <w:r w:rsidRPr="00E246B7">
        <w:rPr>
          <w:i/>
          <w:sz w:val="24"/>
          <w:szCs w:val="24"/>
        </w:rPr>
        <w:t>testing</w:t>
      </w:r>
      <w:r>
        <w:rPr>
          <w:sz w:val="24"/>
          <w:szCs w:val="24"/>
        </w:rPr>
        <w:t xml:space="preserve">, noun </w:t>
      </w:r>
      <w:r w:rsidRPr="00E246B7">
        <w:rPr>
          <w:i/>
          <w:sz w:val="24"/>
          <w:szCs w:val="24"/>
        </w:rPr>
        <w:t>screening</w:t>
      </w:r>
      <w:r>
        <w:rPr>
          <w:sz w:val="24"/>
          <w:szCs w:val="24"/>
        </w:rPr>
        <w:t xml:space="preserve"> is widely used in blood sector. I</w:t>
      </w:r>
      <w:r w:rsidRPr="00C7266D">
        <w:rPr>
          <w:sz w:val="24"/>
          <w:szCs w:val="24"/>
        </w:rPr>
        <w:t xml:space="preserve">n general, there is no difference between </w:t>
      </w:r>
      <w:r>
        <w:rPr>
          <w:sz w:val="24"/>
          <w:szCs w:val="24"/>
        </w:rPr>
        <w:t xml:space="preserve">screening of blood donors and testing of tissue and cell donors themselves. </w:t>
      </w:r>
      <w:r w:rsidR="004C1C96">
        <w:rPr>
          <w:sz w:val="24"/>
          <w:szCs w:val="24"/>
        </w:rPr>
        <w:t xml:space="preserve">In contrast, there is difference between donor </w:t>
      </w:r>
      <w:r w:rsidR="00611D10">
        <w:rPr>
          <w:sz w:val="24"/>
          <w:szCs w:val="24"/>
        </w:rPr>
        <w:t>screening/</w:t>
      </w:r>
      <w:r w:rsidR="004C1C96">
        <w:rPr>
          <w:sz w:val="24"/>
          <w:szCs w:val="24"/>
        </w:rPr>
        <w:t>testing</w:t>
      </w:r>
      <w:r w:rsidR="000B029F">
        <w:rPr>
          <w:sz w:val="24"/>
          <w:szCs w:val="24"/>
        </w:rPr>
        <w:t>,</w:t>
      </w:r>
      <w:r w:rsidR="004C1C96">
        <w:rPr>
          <w:sz w:val="24"/>
          <w:szCs w:val="24"/>
        </w:rPr>
        <w:t xml:space="preserve"> and </w:t>
      </w:r>
      <w:r w:rsidR="004C1C96" w:rsidRPr="004C1C96">
        <w:rPr>
          <w:sz w:val="24"/>
          <w:szCs w:val="24"/>
        </w:rPr>
        <w:t>d</w:t>
      </w:r>
      <w:r w:rsidR="000B029F">
        <w:rPr>
          <w:sz w:val="24"/>
          <w:szCs w:val="24"/>
        </w:rPr>
        <w:t>iagnostic testing. D</w:t>
      </w:r>
      <w:r w:rsidR="004C1C96" w:rsidRPr="004C1C96">
        <w:rPr>
          <w:sz w:val="24"/>
          <w:szCs w:val="24"/>
        </w:rPr>
        <w:t>iagnostic testing is performed to people</w:t>
      </w:r>
      <w:r w:rsidR="000B029F">
        <w:rPr>
          <w:sz w:val="24"/>
          <w:szCs w:val="24"/>
        </w:rPr>
        <w:t>,</w:t>
      </w:r>
      <w:r w:rsidR="004C1C96" w:rsidRPr="004C1C96">
        <w:rPr>
          <w:sz w:val="24"/>
          <w:szCs w:val="24"/>
        </w:rPr>
        <w:t xml:space="preserve"> who have a suspected disease or condition to provide a definitive diagnosis</w:t>
      </w:r>
      <w:r w:rsidR="000B029F">
        <w:rPr>
          <w:sz w:val="24"/>
          <w:szCs w:val="24"/>
        </w:rPr>
        <w:t>,</w:t>
      </w:r>
      <w:r w:rsidR="004C1C96">
        <w:rPr>
          <w:sz w:val="24"/>
          <w:szCs w:val="24"/>
        </w:rPr>
        <w:t xml:space="preserve"> whereas donor </w:t>
      </w:r>
      <w:r w:rsidR="00611D10">
        <w:rPr>
          <w:sz w:val="24"/>
          <w:szCs w:val="24"/>
        </w:rPr>
        <w:t>screening/</w:t>
      </w:r>
      <w:r w:rsidR="004C1C96">
        <w:rPr>
          <w:sz w:val="24"/>
          <w:szCs w:val="24"/>
        </w:rPr>
        <w:t xml:space="preserve">testing is performed to </w:t>
      </w:r>
      <w:r w:rsidR="000B029F" w:rsidRPr="000B029F">
        <w:rPr>
          <w:sz w:val="24"/>
          <w:szCs w:val="24"/>
        </w:rPr>
        <w:t xml:space="preserve">presumably </w:t>
      </w:r>
      <w:r w:rsidR="000B029F">
        <w:rPr>
          <w:sz w:val="24"/>
          <w:szCs w:val="24"/>
        </w:rPr>
        <w:t xml:space="preserve">asymptomatic people to rule out </w:t>
      </w:r>
      <w:r w:rsidR="000B029F" w:rsidRPr="00C7266D">
        <w:rPr>
          <w:sz w:val="24"/>
          <w:szCs w:val="24"/>
        </w:rPr>
        <w:t>the pr</w:t>
      </w:r>
      <w:r w:rsidR="000B029F">
        <w:rPr>
          <w:sz w:val="24"/>
          <w:szCs w:val="24"/>
        </w:rPr>
        <w:t>esence of infectious diseases.</w:t>
      </w:r>
      <w:r w:rsidR="004C1C96" w:rsidRPr="004C1C96">
        <w:rPr>
          <w:sz w:val="24"/>
          <w:szCs w:val="24"/>
        </w:rPr>
        <w:t xml:space="preserve"> </w:t>
      </w:r>
      <w:r w:rsidRPr="004C1C96">
        <w:rPr>
          <w:sz w:val="24"/>
          <w:szCs w:val="24"/>
        </w:rPr>
        <w:t>T</w:t>
      </w:r>
      <w:r>
        <w:rPr>
          <w:sz w:val="24"/>
          <w:szCs w:val="24"/>
        </w:rPr>
        <w:t>he</w:t>
      </w:r>
      <w:r w:rsidR="000B029F">
        <w:rPr>
          <w:sz w:val="24"/>
          <w:szCs w:val="24"/>
        </w:rPr>
        <w:t>refore the</w:t>
      </w:r>
      <w:r>
        <w:rPr>
          <w:sz w:val="24"/>
          <w:szCs w:val="24"/>
        </w:rPr>
        <w:t xml:space="preserve"> reason</w:t>
      </w:r>
      <w:r w:rsidRPr="00C7266D">
        <w:rPr>
          <w:sz w:val="24"/>
          <w:szCs w:val="24"/>
        </w:rPr>
        <w:t xml:space="preserve"> </w:t>
      </w:r>
      <w:r>
        <w:rPr>
          <w:sz w:val="24"/>
          <w:szCs w:val="24"/>
        </w:rPr>
        <w:t xml:space="preserve">for the </w:t>
      </w:r>
      <w:r w:rsidR="000B029F">
        <w:rPr>
          <w:sz w:val="24"/>
          <w:szCs w:val="24"/>
        </w:rPr>
        <w:t>donor screening</w:t>
      </w:r>
      <w:r w:rsidR="00611D10">
        <w:rPr>
          <w:sz w:val="24"/>
          <w:szCs w:val="24"/>
        </w:rPr>
        <w:t>/</w:t>
      </w:r>
      <w:r w:rsidR="000B029F">
        <w:rPr>
          <w:sz w:val="24"/>
          <w:szCs w:val="24"/>
        </w:rPr>
        <w:t xml:space="preserve">testing is the same, to </w:t>
      </w:r>
      <w:r w:rsidR="000B029F" w:rsidRPr="000B029F">
        <w:rPr>
          <w:sz w:val="24"/>
          <w:szCs w:val="24"/>
        </w:rPr>
        <w:t xml:space="preserve">search for the presence of infection markers in donors </w:t>
      </w:r>
      <w:r>
        <w:rPr>
          <w:sz w:val="24"/>
          <w:szCs w:val="24"/>
        </w:rPr>
        <w:t xml:space="preserve">and assure safety of BTC for recipients. The only difference lie in some </w:t>
      </w:r>
      <w:r>
        <w:rPr>
          <w:sz w:val="24"/>
          <w:szCs w:val="24"/>
        </w:rPr>
        <w:lastRenderedPageBreak/>
        <w:t>infectious markers being tested</w:t>
      </w:r>
      <w:r w:rsidR="00611D10">
        <w:rPr>
          <w:sz w:val="24"/>
          <w:szCs w:val="24"/>
        </w:rPr>
        <w:t xml:space="preserve"> depending on the type of donor</w:t>
      </w:r>
      <w:r>
        <w:rPr>
          <w:sz w:val="24"/>
          <w:szCs w:val="24"/>
        </w:rPr>
        <w:t xml:space="preserve">, </w:t>
      </w:r>
      <w:r w:rsidRPr="00C7266D">
        <w:rPr>
          <w:sz w:val="24"/>
          <w:szCs w:val="24"/>
        </w:rPr>
        <w:t xml:space="preserve">the interpretation of the results </w:t>
      </w:r>
      <w:r>
        <w:rPr>
          <w:sz w:val="24"/>
          <w:szCs w:val="24"/>
        </w:rPr>
        <w:t>and the subsequent actions</w:t>
      </w:r>
      <w:r w:rsidR="00C65B96">
        <w:rPr>
          <w:sz w:val="24"/>
          <w:szCs w:val="24"/>
        </w:rPr>
        <w:t xml:space="preserve"> (EDQM T&amp;C Guide</w:t>
      </w:r>
      <w:r w:rsidR="00611D10">
        <w:rPr>
          <w:sz w:val="24"/>
          <w:szCs w:val="24"/>
        </w:rPr>
        <w:t>, WHO 2009, EDCD)</w:t>
      </w:r>
      <w:r>
        <w:rPr>
          <w:sz w:val="24"/>
          <w:szCs w:val="24"/>
        </w:rPr>
        <w:t xml:space="preserve">. Therefore, for the clarity, in the context of this document testing is used to describe a </w:t>
      </w:r>
      <w:r w:rsidRPr="007C3CD9">
        <w:rPr>
          <w:sz w:val="24"/>
          <w:szCs w:val="24"/>
        </w:rPr>
        <w:t>process/</w:t>
      </w:r>
      <w:r w:rsidRPr="00C02A49">
        <w:rPr>
          <w:sz w:val="24"/>
          <w:szCs w:val="24"/>
        </w:rPr>
        <w:t xml:space="preserve"> </w:t>
      </w:r>
      <w:r>
        <w:rPr>
          <w:sz w:val="24"/>
          <w:szCs w:val="24"/>
        </w:rPr>
        <w:t>a procedure to determine</w:t>
      </w:r>
      <w:r w:rsidRPr="000F53BA">
        <w:rPr>
          <w:sz w:val="24"/>
          <w:szCs w:val="24"/>
        </w:rPr>
        <w:t xml:space="preserve"> the prese</w:t>
      </w:r>
      <w:r>
        <w:rPr>
          <w:sz w:val="24"/>
          <w:szCs w:val="24"/>
        </w:rPr>
        <w:t>nce of infectious disease markers in donor specimen and to assure the quality or safety of BTC (including primary screening of blood donors).</w:t>
      </w:r>
    </w:p>
    <w:p w14:paraId="08E450F0" w14:textId="2EFDE040" w:rsidR="0030005F" w:rsidRPr="00E14801" w:rsidRDefault="00BE0755" w:rsidP="009A297D">
      <w:pPr>
        <w:pStyle w:val="Heading2"/>
        <w:numPr>
          <w:ilvl w:val="1"/>
          <w:numId w:val="14"/>
        </w:numPr>
      </w:pPr>
      <w:bookmarkStart w:id="9" w:name="_Toc41427148"/>
      <w:r>
        <w:t>Q</w:t>
      </w:r>
      <w:r w:rsidR="0030005F" w:rsidRPr="00E14801">
        <w:t>uality system</w:t>
      </w:r>
      <w:bookmarkEnd w:id="9"/>
    </w:p>
    <w:p w14:paraId="3A01AF5A" w14:textId="6A912BE4" w:rsidR="0030005F" w:rsidRPr="00E14801" w:rsidRDefault="0030005F" w:rsidP="0011204D">
      <w:pPr>
        <w:jc w:val="both"/>
        <w:rPr>
          <w:rFonts w:cstheme="minorHAnsi"/>
          <w:sz w:val="24"/>
          <w:szCs w:val="24"/>
          <w:lang w:val="en-GB"/>
        </w:rPr>
      </w:pPr>
      <w:r w:rsidRPr="00E14801">
        <w:rPr>
          <w:rFonts w:cstheme="minorHAnsi"/>
          <w:sz w:val="24"/>
          <w:szCs w:val="24"/>
        </w:rPr>
        <w:t xml:space="preserve">In general, based on the EUBTCDs </w:t>
      </w:r>
      <w:r w:rsidR="001B6DE7">
        <w:rPr>
          <w:rFonts w:cstheme="minorHAnsi"/>
          <w:sz w:val="24"/>
          <w:szCs w:val="24"/>
        </w:rPr>
        <w:t xml:space="preserve">any </w:t>
      </w:r>
      <w:r w:rsidRPr="00E14801">
        <w:rPr>
          <w:rFonts w:cstheme="minorHAnsi"/>
          <w:sz w:val="24"/>
          <w:szCs w:val="24"/>
        </w:rPr>
        <w:t xml:space="preserve">laboratory </w:t>
      </w:r>
      <w:r w:rsidR="00FC482F">
        <w:rPr>
          <w:rFonts w:cstheme="minorHAnsi"/>
          <w:sz w:val="24"/>
          <w:szCs w:val="24"/>
        </w:rPr>
        <w:t>undertaking</w:t>
      </w:r>
      <w:r w:rsidR="001B6DE7">
        <w:rPr>
          <w:rFonts w:cstheme="minorHAnsi"/>
          <w:sz w:val="24"/>
          <w:szCs w:val="24"/>
        </w:rPr>
        <w:t xml:space="preserve"> </w:t>
      </w:r>
      <w:r w:rsidR="00961004">
        <w:rPr>
          <w:rFonts w:cstheme="minorHAnsi"/>
          <w:sz w:val="24"/>
          <w:szCs w:val="24"/>
        </w:rPr>
        <w:t>the test</w:t>
      </w:r>
      <w:r w:rsidRPr="00E14801">
        <w:rPr>
          <w:rFonts w:cstheme="minorHAnsi"/>
          <w:sz w:val="24"/>
          <w:szCs w:val="24"/>
        </w:rPr>
        <w:t xml:space="preserve">ing </w:t>
      </w:r>
      <w:r w:rsidR="00961004">
        <w:rPr>
          <w:rFonts w:cstheme="minorHAnsi"/>
          <w:sz w:val="24"/>
          <w:szCs w:val="24"/>
        </w:rPr>
        <w:t xml:space="preserve">of donors </w:t>
      </w:r>
      <w:r w:rsidRPr="00E14801">
        <w:rPr>
          <w:rFonts w:cstheme="minorHAnsi"/>
          <w:sz w:val="24"/>
          <w:szCs w:val="24"/>
        </w:rPr>
        <w:t>must have a well-</w:t>
      </w:r>
      <w:r w:rsidR="00FC482F" w:rsidRPr="00E14801">
        <w:rPr>
          <w:rFonts w:cstheme="minorHAnsi"/>
          <w:sz w:val="24"/>
          <w:szCs w:val="24"/>
        </w:rPr>
        <w:t>ma</w:t>
      </w:r>
      <w:r w:rsidR="00FC482F">
        <w:rPr>
          <w:rFonts w:cstheme="minorHAnsi"/>
          <w:sz w:val="24"/>
          <w:szCs w:val="24"/>
        </w:rPr>
        <w:t>naged quality</w:t>
      </w:r>
      <w:r w:rsidR="006812E4">
        <w:rPr>
          <w:rFonts w:cstheme="minorHAnsi"/>
          <w:sz w:val="24"/>
          <w:szCs w:val="24"/>
        </w:rPr>
        <w:t xml:space="preserve"> system (</w:t>
      </w:r>
      <w:r w:rsidR="00C65B96">
        <w:rPr>
          <w:sz w:val="24"/>
          <w:szCs w:val="24"/>
        </w:rPr>
        <w:t>Directive 2002/98</w:t>
      </w:r>
      <w:r w:rsidR="006812E4" w:rsidRPr="006F3CC6">
        <w:rPr>
          <w:sz w:val="24"/>
          <w:szCs w:val="24"/>
        </w:rPr>
        <w:t xml:space="preserve">, </w:t>
      </w:r>
      <w:r w:rsidR="00C65B96">
        <w:rPr>
          <w:sz w:val="24"/>
          <w:szCs w:val="24"/>
        </w:rPr>
        <w:t>Directive 2004/23</w:t>
      </w:r>
      <w:r w:rsidRPr="00E14801">
        <w:rPr>
          <w:rFonts w:cstheme="minorHAnsi"/>
          <w:sz w:val="24"/>
          <w:szCs w:val="24"/>
        </w:rPr>
        <w:t>)</w:t>
      </w:r>
      <w:r w:rsidRPr="00E14801">
        <w:rPr>
          <w:rFonts w:cstheme="minorHAnsi"/>
          <w:sz w:val="24"/>
          <w:szCs w:val="24"/>
          <w:lang w:val="en-GB"/>
        </w:rPr>
        <w:t xml:space="preserve">. </w:t>
      </w:r>
      <w:r w:rsidRPr="00E14801">
        <w:rPr>
          <w:rFonts w:cstheme="minorHAnsi"/>
          <w:sz w:val="24"/>
          <w:szCs w:val="24"/>
        </w:rPr>
        <w:t>As any structure or body, that is responsible for any aspect o</w:t>
      </w:r>
      <w:r w:rsidR="00FC482F">
        <w:rPr>
          <w:rFonts w:cstheme="minorHAnsi"/>
          <w:sz w:val="24"/>
          <w:szCs w:val="24"/>
        </w:rPr>
        <w:t>f</w:t>
      </w:r>
      <w:r w:rsidR="001B6DE7">
        <w:rPr>
          <w:rFonts w:cstheme="minorHAnsi"/>
          <w:sz w:val="24"/>
          <w:szCs w:val="24"/>
        </w:rPr>
        <w:t xml:space="preserve"> </w:t>
      </w:r>
      <w:r w:rsidR="00961004">
        <w:rPr>
          <w:rFonts w:cstheme="minorHAnsi"/>
          <w:sz w:val="24"/>
          <w:szCs w:val="24"/>
        </w:rPr>
        <w:t>test</w:t>
      </w:r>
      <w:r w:rsidR="00FC482F">
        <w:rPr>
          <w:rFonts w:cstheme="minorHAnsi"/>
          <w:sz w:val="24"/>
          <w:szCs w:val="24"/>
        </w:rPr>
        <w:t>ing</w:t>
      </w:r>
      <w:r w:rsidRPr="00E14801">
        <w:rPr>
          <w:rFonts w:cstheme="minorHAnsi"/>
          <w:sz w:val="24"/>
          <w:szCs w:val="24"/>
        </w:rPr>
        <w:t xml:space="preserve"> of human blood or blood co</w:t>
      </w:r>
      <w:r w:rsidR="00197100">
        <w:rPr>
          <w:rFonts w:cstheme="minorHAnsi"/>
          <w:sz w:val="24"/>
          <w:szCs w:val="24"/>
        </w:rPr>
        <w:t>mponents is determined to be a Blood E</w:t>
      </w:r>
      <w:r w:rsidRPr="00E14801">
        <w:rPr>
          <w:rFonts w:cstheme="minorHAnsi"/>
          <w:sz w:val="24"/>
          <w:szCs w:val="24"/>
        </w:rPr>
        <w:t>stablishment (except hospital blood banks) (</w:t>
      </w:r>
      <w:r w:rsidR="00C65B96">
        <w:rPr>
          <w:sz w:val="24"/>
          <w:szCs w:val="24"/>
        </w:rPr>
        <w:t>Directive 2002/98</w:t>
      </w:r>
      <w:r w:rsidR="00961004">
        <w:rPr>
          <w:rFonts w:cstheme="minorHAnsi"/>
          <w:sz w:val="24"/>
          <w:szCs w:val="24"/>
        </w:rPr>
        <w:t>), laboratories test</w:t>
      </w:r>
      <w:r w:rsidRPr="00E14801">
        <w:rPr>
          <w:rFonts w:cstheme="minorHAnsi"/>
          <w:sz w:val="24"/>
          <w:szCs w:val="24"/>
        </w:rPr>
        <w:t xml:space="preserve">ing </w:t>
      </w:r>
      <w:r w:rsidR="005E4DCC">
        <w:rPr>
          <w:rFonts w:cstheme="minorHAnsi"/>
          <w:sz w:val="24"/>
          <w:szCs w:val="24"/>
        </w:rPr>
        <w:t>of</w:t>
      </w:r>
      <w:r w:rsidR="005E4DCC" w:rsidRPr="00E14801">
        <w:rPr>
          <w:rFonts w:cstheme="minorHAnsi"/>
          <w:sz w:val="24"/>
          <w:szCs w:val="24"/>
        </w:rPr>
        <w:t xml:space="preserve"> </w:t>
      </w:r>
      <w:r w:rsidRPr="00E14801">
        <w:rPr>
          <w:rFonts w:cstheme="minorHAnsi"/>
          <w:sz w:val="24"/>
          <w:szCs w:val="24"/>
        </w:rPr>
        <w:t xml:space="preserve">blood donations and performing microbiological testing </w:t>
      </w:r>
      <w:r w:rsidR="005E4DCC">
        <w:rPr>
          <w:rFonts w:cstheme="minorHAnsi"/>
          <w:sz w:val="24"/>
          <w:szCs w:val="24"/>
        </w:rPr>
        <w:t>of</w:t>
      </w:r>
      <w:r w:rsidR="005E4DCC" w:rsidRPr="00E14801">
        <w:rPr>
          <w:rFonts w:cstheme="minorHAnsi"/>
          <w:sz w:val="24"/>
          <w:szCs w:val="24"/>
        </w:rPr>
        <w:t xml:space="preserve"> </w:t>
      </w:r>
      <w:r w:rsidRPr="00E14801">
        <w:rPr>
          <w:rFonts w:cstheme="minorHAnsi"/>
          <w:sz w:val="24"/>
          <w:szCs w:val="24"/>
        </w:rPr>
        <w:t xml:space="preserve">blood components must meet the quality system standards and specifications for </w:t>
      </w:r>
      <w:r w:rsidR="00197100">
        <w:rPr>
          <w:rFonts w:cstheme="minorHAnsi"/>
          <w:sz w:val="24"/>
          <w:szCs w:val="24"/>
        </w:rPr>
        <w:t>BEs as defined in the D</w:t>
      </w:r>
      <w:r w:rsidRPr="00E14801">
        <w:rPr>
          <w:rFonts w:cstheme="minorHAnsi"/>
          <w:sz w:val="24"/>
          <w:szCs w:val="24"/>
        </w:rPr>
        <w:t>irective 2005/62/EC. Similarly, the quality system</w:t>
      </w:r>
      <w:r w:rsidR="00961004">
        <w:rPr>
          <w:rFonts w:cstheme="minorHAnsi"/>
          <w:sz w:val="24"/>
          <w:szCs w:val="24"/>
        </w:rPr>
        <w:t xml:space="preserve"> of tissue and cell donor test</w:t>
      </w:r>
      <w:r w:rsidRPr="00E14801">
        <w:rPr>
          <w:rFonts w:cstheme="minorHAnsi"/>
          <w:sz w:val="24"/>
          <w:szCs w:val="24"/>
        </w:rPr>
        <w:t xml:space="preserve">ing and graft microbiological testing laboratories </w:t>
      </w:r>
      <w:r w:rsidRPr="00E14801">
        <w:rPr>
          <w:rFonts w:cstheme="minorHAnsi"/>
          <w:sz w:val="24"/>
          <w:szCs w:val="24"/>
          <w:lang w:val="en-GB"/>
        </w:rPr>
        <w:t>must meet the</w:t>
      </w:r>
      <w:r w:rsidR="00197100">
        <w:rPr>
          <w:rFonts w:cstheme="minorHAnsi"/>
          <w:sz w:val="24"/>
          <w:szCs w:val="24"/>
          <w:lang w:val="en-GB"/>
        </w:rPr>
        <w:t xml:space="preserve"> requirements laid down in the D</w:t>
      </w:r>
      <w:r w:rsidRPr="00E14801">
        <w:rPr>
          <w:rFonts w:cstheme="minorHAnsi"/>
          <w:sz w:val="24"/>
          <w:szCs w:val="24"/>
          <w:lang w:val="en-GB"/>
        </w:rPr>
        <w:t xml:space="preserve">irective 2004/23/EC. </w:t>
      </w:r>
    </w:p>
    <w:p w14:paraId="6DB0D0F5" w14:textId="5D7E29CE" w:rsidR="0030005F" w:rsidRPr="00E14801" w:rsidRDefault="00BE0755" w:rsidP="009A297D">
      <w:pPr>
        <w:pStyle w:val="Heading2"/>
        <w:numPr>
          <w:ilvl w:val="1"/>
          <w:numId w:val="14"/>
        </w:numPr>
      </w:pPr>
      <w:bookmarkStart w:id="10" w:name="_Toc41427149"/>
      <w:r>
        <w:t>S</w:t>
      </w:r>
      <w:r w:rsidR="0030005F" w:rsidRPr="00E14801">
        <w:t>tandard</w:t>
      </w:r>
      <w:bookmarkEnd w:id="10"/>
    </w:p>
    <w:p w14:paraId="334D28DD" w14:textId="4B2710C5" w:rsidR="0030005F" w:rsidRPr="00E14801" w:rsidRDefault="0030005F" w:rsidP="0011204D">
      <w:pPr>
        <w:jc w:val="both"/>
        <w:rPr>
          <w:rFonts w:cstheme="minorHAnsi"/>
          <w:sz w:val="24"/>
          <w:szCs w:val="24"/>
        </w:rPr>
      </w:pPr>
      <w:r w:rsidRPr="00E14801">
        <w:rPr>
          <w:rFonts w:cstheme="minorHAnsi"/>
          <w:sz w:val="24"/>
          <w:szCs w:val="24"/>
        </w:rPr>
        <w:t>The EUBTC</w:t>
      </w:r>
      <w:r w:rsidR="00CA1F30">
        <w:rPr>
          <w:rFonts w:cstheme="minorHAnsi"/>
          <w:sz w:val="24"/>
          <w:szCs w:val="24"/>
        </w:rPr>
        <w:t>D</w:t>
      </w:r>
      <w:r w:rsidRPr="00E14801">
        <w:rPr>
          <w:rFonts w:cstheme="minorHAnsi"/>
          <w:sz w:val="24"/>
          <w:szCs w:val="24"/>
        </w:rPr>
        <w:t xml:space="preserve"> are the minimum standards for l</w:t>
      </w:r>
      <w:r w:rsidR="00961004">
        <w:rPr>
          <w:rFonts w:cstheme="minorHAnsi"/>
          <w:sz w:val="24"/>
          <w:szCs w:val="24"/>
        </w:rPr>
        <w:t>aboratories performing donor infectious disease test</w:t>
      </w:r>
      <w:r w:rsidRPr="00E14801">
        <w:rPr>
          <w:rFonts w:cstheme="minorHAnsi"/>
          <w:sz w:val="24"/>
          <w:szCs w:val="24"/>
        </w:rPr>
        <w:t xml:space="preserve">ing and microbiological testing of </w:t>
      </w:r>
      <w:r w:rsidR="00416BFF">
        <w:rPr>
          <w:rFonts w:cstheme="minorHAnsi"/>
          <w:sz w:val="24"/>
          <w:szCs w:val="24"/>
        </w:rPr>
        <w:t>BTC</w:t>
      </w:r>
      <w:r w:rsidRPr="00E14801">
        <w:rPr>
          <w:rFonts w:cstheme="minorHAnsi"/>
          <w:sz w:val="24"/>
          <w:szCs w:val="24"/>
        </w:rPr>
        <w:t xml:space="preserve">. </w:t>
      </w:r>
      <w:r w:rsidR="00365D1A">
        <w:rPr>
          <w:rFonts w:cstheme="minorHAnsi"/>
          <w:sz w:val="24"/>
          <w:szCs w:val="24"/>
        </w:rPr>
        <w:t xml:space="preserve">The </w:t>
      </w:r>
      <w:r w:rsidRPr="00E14801">
        <w:rPr>
          <w:rFonts w:cstheme="minorHAnsi"/>
          <w:sz w:val="24"/>
          <w:szCs w:val="24"/>
        </w:rPr>
        <w:t>EDQM Guide to the preparation, use and quality assurance of blood components is an additional sta</w:t>
      </w:r>
      <w:r w:rsidR="00961004">
        <w:rPr>
          <w:rFonts w:cstheme="minorHAnsi"/>
          <w:sz w:val="24"/>
          <w:szCs w:val="24"/>
        </w:rPr>
        <w:t>ndard for blood donor testi</w:t>
      </w:r>
      <w:r w:rsidRPr="00E14801">
        <w:rPr>
          <w:rFonts w:cstheme="minorHAnsi"/>
          <w:sz w:val="24"/>
          <w:szCs w:val="24"/>
        </w:rPr>
        <w:t>ng laboratories</w:t>
      </w:r>
      <w:r w:rsidR="009A2709">
        <w:rPr>
          <w:rFonts w:cstheme="minorHAnsi"/>
          <w:sz w:val="24"/>
          <w:szCs w:val="24"/>
        </w:rPr>
        <w:t xml:space="preserve"> and EDQM </w:t>
      </w:r>
      <w:r w:rsidR="00F80F11" w:rsidRPr="00F80F11">
        <w:rPr>
          <w:rFonts w:cstheme="minorHAnsi"/>
          <w:sz w:val="24"/>
          <w:szCs w:val="24"/>
        </w:rPr>
        <w:t>Guide to the Quality and Safety of Tissues and Cells for Human Application</w:t>
      </w:r>
      <w:r w:rsidR="00F80F11">
        <w:rPr>
          <w:rFonts w:cstheme="minorHAnsi"/>
          <w:sz w:val="24"/>
          <w:szCs w:val="24"/>
        </w:rPr>
        <w:t xml:space="preserve"> </w:t>
      </w:r>
      <w:r w:rsidR="00BE0755">
        <w:rPr>
          <w:rFonts w:cstheme="minorHAnsi"/>
          <w:sz w:val="24"/>
          <w:szCs w:val="24"/>
        </w:rPr>
        <w:t xml:space="preserve">could be used </w:t>
      </w:r>
      <w:r w:rsidR="009A2709">
        <w:rPr>
          <w:rFonts w:cstheme="minorHAnsi"/>
          <w:sz w:val="24"/>
          <w:szCs w:val="24"/>
        </w:rPr>
        <w:t>for tissues and cells</w:t>
      </w:r>
      <w:r w:rsidR="00BE0755">
        <w:rPr>
          <w:rFonts w:cstheme="minorHAnsi"/>
          <w:sz w:val="24"/>
          <w:szCs w:val="24"/>
        </w:rPr>
        <w:t>,</w:t>
      </w:r>
      <w:r w:rsidR="00F80F11">
        <w:rPr>
          <w:rFonts w:cstheme="minorHAnsi"/>
          <w:sz w:val="24"/>
          <w:szCs w:val="24"/>
        </w:rPr>
        <w:t xml:space="preserve"> respectively</w:t>
      </w:r>
      <w:r w:rsidRPr="00E14801">
        <w:rPr>
          <w:rFonts w:cstheme="minorHAnsi"/>
          <w:sz w:val="24"/>
          <w:szCs w:val="24"/>
        </w:rPr>
        <w:t>. In addition to directives, laboratories must meet the relevant national legislation and national standards, which appl</w:t>
      </w:r>
      <w:r w:rsidR="00F43EAC">
        <w:rPr>
          <w:rFonts w:cstheme="minorHAnsi"/>
          <w:sz w:val="24"/>
          <w:szCs w:val="24"/>
        </w:rPr>
        <w:t>y to those specific activities</w:t>
      </w:r>
      <w:r w:rsidRPr="00E14801">
        <w:rPr>
          <w:rFonts w:cstheme="minorHAnsi"/>
          <w:sz w:val="24"/>
          <w:szCs w:val="24"/>
        </w:rPr>
        <w:t xml:space="preserve">. </w:t>
      </w:r>
    </w:p>
    <w:p w14:paraId="32256274" w14:textId="3CC22762" w:rsidR="0030005F" w:rsidRPr="00E14801" w:rsidRDefault="00961004" w:rsidP="0011204D">
      <w:pPr>
        <w:jc w:val="both"/>
        <w:rPr>
          <w:rFonts w:cstheme="minorHAnsi"/>
          <w:sz w:val="24"/>
          <w:szCs w:val="24"/>
          <w:lang w:val="en-GB"/>
        </w:rPr>
      </w:pPr>
      <w:r>
        <w:rPr>
          <w:rFonts w:cstheme="minorHAnsi"/>
          <w:sz w:val="24"/>
          <w:szCs w:val="24"/>
        </w:rPr>
        <w:t>Many medical</w:t>
      </w:r>
      <w:r w:rsidR="0030005F" w:rsidRPr="00E14801">
        <w:rPr>
          <w:rFonts w:cstheme="minorHAnsi"/>
          <w:sz w:val="24"/>
          <w:szCs w:val="24"/>
        </w:rPr>
        <w:t xml:space="preserve"> laboratories in EU follow </w:t>
      </w:r>
      <w:r w:rsidR="0016688F">
        <w:rPr>
          <w:rFonts w:cstheme="minorHAnsi"/>
          <w:sz w:val="24"/>
          <w:szCs w:val="24"/>
        </w:rPr>
        <w:t xml:space="preserve">EN </w:t>
      </w:r>
      <w:r w:rsidR="0030005F" w:rsidRPr="00E14801">
        <w:rPr>
          <w:rFonts w:cstheme="minorHAnsi"/>
          <w:sz w:val="24"/>
          <w:szCs w:val="24"/>
        </w:rPr>
        <w:t>ISO standards</w:t>
      </w:r>
      <w:r w:rsidR="00A82298">
        <w:rPr>
          <w:rFonts w:cstheme="minorHAnsi"/>
          <w:sz w:val="24"/>
          <w:szCs w:val="24"/>
        </w:rPr>
        <w:t xml:space="preserve">, either voluntarily or </w:t>
      </w:r>
      <w:r w:rsidR="002A2F91">
        <w:rPr>
          <w:rFonts w:cstheme="minorHAnsi"/>
          <w:sz w:val="24"/>
          <w:szCs w:val="24"/>
        </w:rPr>
        <w:t xml:space="preserve">under obligation, </w:t>
      </w:r>
      <w:r w:rsidR="00A82298">
        <w:rPr>
          <w:rFonts w:cstheme="minorHAnsi"/>
          <w:sz w:val="24"/>
          <w:szCs w:val="24"/>
        </w:rPr>
        <w:t>if required by national legislation</w:t>
      </w:r>
      <w:r w:rsidR="0030005F" w:rsidRPr="00E14801">
        <w:rPr>
          <w:rFonts w:cstheme="minorHAnsi"/>
          <w:sz w:val="24"/>
          <w:szCs w:val="24"/>
        </w:rPr>
        <w:t>.</w:t>
      </w:r>
      <w:r w:rsidR="0016688F">
        <w:rPr>
          <w:rFonts w:cstheme="minorHAnsi"/>
          <w:sz w:val="24"/>
          <w:szCs w:val="24"/>
        </w:rPr>
        <w:t xml:space="preserve"> EN</w:t>
      </w:r>
      <w:r w:rsidR="0030005F" w:rsidRPr="00E14801">
        <w:rPr>
          <w:rFonts w:cstheme="minorHAnsi"/>
          <w:sz w:val="24"/>
          <w:szCs w:val="24"/>
        </w:rPr>
        <w:t xml:space="preserve"> ISO </w:t>
      </w:r>
      <w:r w:rsidR="000605FD" w:rsidRPr="00E14801">
        <w:rPr>
          <w:rFonts w:cstheme="minorHAnsi"/>
          <w:sz w:val="24"/>
          <w:szCs w:val="24"/>
        </w:rPr>
        <w:t>15189</w:t>
      </w:r>
      <w:r w:rsidR="0030005F" w:rsidRPr="00E14801">
        <w:rPr>
          <w:rFonts w:cstheme="minorHAnsi"/>
          <w:sz w:val="24"/>
          <w:szCs w:val="24"/>
        </w:rPr>
        <w:t>, the international standard for all fields in laboratory medicine, is internationally and within EU the most used (</w:t>
      </w:r>
      <w:r w:rsidR="00FE197D">
        <w:rPr>
          <w:rFonts w:cstheme="minorHAnsi"/>
          <w:sz w:val="24"/>
          <w:szCs w:val="24"/>
        </w:rPr>
        <w:t>Zima 2017, Boursier et al. 2016, Buchta et al. 2018</w:t>
      </w:r>
      <w:r w:rsidR="0030005F" w:rsidRPr="00E14801">
        <w:rPr>
          <w:rFonts w:cstheme="minorHAnsi"/>
          <w:sz w:val="24"/>
          <w:szCs w:val="24"/>
        </w:rPr>
        <w:t>).</w:t>
      </w:r>
      <w:r w:rsidR="00431021">
        <w:rPr>
          <w:rFonts w:cstheme="minorHAnsi"/>
          <w:sz w:val="24"/>
          <w:szCs w:val="24"/>
        </w:rPr>
        <w:t xml:space="preserve"> </w:t>
      </w:r>
      <w:r w:rsidR="0030005F" w:rsidRPr="00E14801">
        <w:rPr>
          <w:rFonts w:cstheme="minorHAnsi"/>
          <w:sz w:val="24"/>
          <w:szCs w:val="24"/>
        </w:rPr>
        <w:t xml:space="preserve">In some EU </w:t>
      </w:r>
      <w:r w:rsidR="007A24C5">
        <w:rPr>
          <w:rFonts w:cstheme="minorHAnsi"/>
          <w:sz w:val="24"/>
          <w:szCs w:val="24"/>
        </w:rPr>
        <w:t>MSs</w:t>
      </w:r>
      <w:r w:rsidR="0030005F" w:rsidRPr="00E14801">
        <w:rPr>
          <w:rFonts w:cstheme="minorHAnsi"/>
          <w:sz w:val="24"/>
          <w:szCs w:val="24"/>
        </w:rPr>
        <w:t xml:space="preserve"> other national or international standards which have adopted essential contents of </w:t>
      </w:r>
      <w:r w:rsidR="0016688F">
        <w:rPr>
          <w:rFonts w:cstheme="minorHAnsi"/>
          <w:sz w:val="24"/>
          <w:szCs w:val="24"/>
        </w:rPr>
        <w:t xml:space="preserve">EN </w:t>
      </w:r>
      <w:r w:rsidR="0030005F" w:rsidRPr="00E14801">
        <w:rPr>
          <w:rFonts w:cstheme="minorHAnsi"/>
          <w:sz w:val="24"/>
          <w:szCs w:val="24"/>
        </w:rPr>
        <w:t>IS</w:t>
      </w:r>
      <w:r w:rsidR="00FE197D">
        <w:rPr>
          <w:rFonts w:cstheme="minorHAnsi"/>
          <w:sz w:val="24"/>
          <w:szCs w:val="24"/>
        </w:rPr>
        <w:t>O 15189 are used (Zima 2017</w:t>
      </w:r>
      <w:r w:rsidR="0030005F" w:rsidRPr="00E14801">
        <w:rPr>
          <w:rFonts w:cstheme="minorHAnsi"/>
          <w:sz w:val="24"/>
          <w:szCs w:val="24"/>
        </w:rPr>
        <w:t xml:space="preserve">). Whereas in some other EU </w:t>
      </w:r>
      <w:r w:rsidR="007A24C5">
        <w:rPr>
          <w:rFonts w:cstheme="minorHAnsi"/>
          <w:sz w:val="24"/>
          <w:szCs w:val="24"/>
        </w:rPr>
        <w:t>MSs</w:t>
      </w:r>
      <w:r w:rsidR="0016688F">
        <w:rPr>
          <w:rFonts w:cstheme="minorHAnsi"/>
          <w:sz w:val="24"/>
          <w:szCs w:val="24"/>
        </w:rPr>
        <w:t xml:space="preserve"> EN</w:t>
      </w:r>
      <w:r w:rsidR="007A24C5" w:rsidRPr="00E14801">
        <w:rPr>
          <w:rFonts w:cstheme="minorHAnsi"/>
          <w:sz w:val="24"/>
          <w:szCs w:val="24"/>
        </w:rPr>
        <w:t xml:space="preserve"> </w:t>
      </w:r>
      <w:r w:rsidR="0030005F" w:rsidRPr="00E14801">
        <w:rPr>
          <w:rFonts w:cstheme="minorHAnsi"/>
          <w:sz w:val="24"/>
          <w:szCs w:val="24"/>
        </w:rPr>
        <w:t xml:space="preserve">ISO 17025, outlining general requirements for the competence of testing and calibration laboratories, is used as an </w:t>
      </w:r>
      <w:r w:rsidR="000F7057">
        <w:rPr>
          <w:rFonts w:cstheme="minorHAnsi"/>
          <w:sz w:val="24"/>
          <w:szCs w:val="24"/>
        </w:rPr>
        <w:t xml:space="preserve">alternative or </w:t>
      </w:r>
      <w:r w:rsidR="0030005F" w:rsidRPr="00E14801">
        <w:rPr>
          <w:rFonts w:cstheme="minorHAnsi"/>
          <w:sz w:val="24"/>
          <w:szCs w:val="24"/>
        </w:rPr>
        <w:t>additional stan</w:t>
      </w:r>
      <w:r w:rsidR="00FE197D">
        <w:rPr>
          <w:rFonts w:cstheme="minorHAnsi"/>
          <w:sz w:val="24"/>
          <w:szCs w:val="24"/>
        </w:rPr>
        <w:t>dard for medical laboratories (Zima 2017</w:t>
      </w:r>
      <w:r w:rsidR="0030005F" w:rsidRPr="00E14801">
        <w:rPr>
          <w:rFonts w:cstheme="minorHAnsi"/>
          <w:sz w:val="24"/>
          <w:szCs w:val="24"/>
        </w:rPr>
        <w:t>).</w:t>
      </w:r>
      <w:r w:rsidR="00133720">
        <w:rPr>
          <w:rFonts w:cstheme="minorHAnsi"/>
          <w:sz w:val="24"/>
          <w:szCs w:val="24"/>
        </w:rPr>
        <w:t xml:space="preserve"> </w:t>
      </w:r>
      <w:r w:rsidR="008E5420">
        <w:rPr>
          <w:rFonts w:cstheme="minorHAnsi"/>
          <w:sz w:val="24"/>
          <w:szCs w:val="24"/>
        </w:rPr>
        <w:t xml:space="preserve">Furthermore, </w:t>
      </w:r>
      <w:r w:rsidR="0016688F">
        <w:rPr>
          <w:rFonts w:cstheme="minorHAnsi"/>
          <w:sz w:val="24"/>
          <w:szCs w:val="24"/>
        </w:rPr>
        <w:t>a</w:t>
      </w:r>
      <w:r w:rsidR="008E5420" w:rsidRPr="008E5420">
        <w:rPr>
          <w:rFonts w:cstheme="minorHAnsi"/>
          <w:sz w:val="24"/>
          <w:szCs w:val="24"/>
        </w:rPr>
        <w:t xml:space="preserve"> laboratory </w:t>
      </w:r>
      <w:r w:rsidR="008E5420">
        <w:rPr>
          <w:rFonts w:cstheme="minorHAnsi"/>
          <w:sz w:val="24"/>
          <w:szCs w:val="24"/>
        </w:rPr>
        <w:t>using in-house assay for BTC donor infectious disease marker testing must be</w:t>
      </w:r>
      <w:r w:rsidR="008E5420" w:rsidRPr="008E5420">
        <w:rPr>
          <w:rFonts w:cstheme="minorHAnsi"/>
          <w:sz w:val="24"/>
          <w:szCs w:val="24"/>
        </w:rPr>
        <w:t xml:space="preserve"> compliant with standard EN ISO 15189</w:t>
      </w:r>
      <w:r w:rsidR="0030005F" w:rsidRPr="00E14801">
        <w:rPr>
          <w:rFonts w:cstheme="minorHAnsi"/>
          <w:sz w:val="24"/>
          <w:szCs w:val="24"/>
          <w:lang w:val="en-GB"/>
        </w:rPr>
        <w:t xml:space="preserve"> </w:t>
      </w:r>
      <w:r w:rsidR="008E5420">
        <w:rPr>
          <w:rFonts w:cstheme="minorHAnsi"/>
          <w:sz w:val="24"/>
          <w:szCs w:val="24"/>
          <w:lang w:val="en-GB"/>
        </w:rPr>
        <w:t>(Regulation 2017/746)</w:t>
      </w:r>
      <w:r w:rsidR="0016688F">
        <w:rPr>
          <w:rFonts w:cstheme="minorHAnsi"/>
          <w:sz w:val="24"/>
          <w:szCs w:val="24"/>
          <w:lang w:val="en-GB"/>
        </w:rPr>
        <w:t xml:space="preserve">. </w:t>
      </w:r>
      <w:r w:rsidR="008E5420">
        <w:rPr>
          <w:rFonts w:cstheme="minorHAnsi"/>
          <w:sz w:val="24"/>
          <w:szCs w:val="24"/>
          <w:lang w:val="en-GB"/>
        </w:rPr>
        <w:t xml:space="preserve"> </w:t>
      </w:r>
      <w:r w:rsidR="00866255">
        <w:rPr>
          <w:rFonts w:cstheme="minorHAnsi"/>
          <w:sz w:val="24"/>
          <w:szCs w:val="24"/>
          <w:lang w:val="en-GB"/>
        </w:rPr>
        <w:t>If</w:t>
      </w:r>
      <w:r w:rsidR="00F801FA">
        <w:rPr>
          <w:rFonts w:cstheme="minorHAnsi"/>
          <w:sz w:val="24"/>
          <w:szCs w:val="24"/>
          <w:lang w:val="en-GB"/>
        </w:rPr>
        <w:t xml:space="preserve"> a</w:t>
      </w:r>
      <w:r w:rsidR="00866255">
        <w:rPr>
          <w:rFonts w:cstheme="minorHAnsi"/>
          <w:sz w:val="24"/>
          <w:szCs w:val="24"/>
          <w:lang w:val="en-GB"/>
        </w:rPr>
        <w:t xml:space="preserve"> laboratory follow</w:t>
      </w:r>
      <w:r w:rsidR="00F801FA">
        <w:rPr>
          <w:rFonts w:cstheme="minorHAnsi"/>
          <w:sz w:val="24"/>
          <w:szCs w:val="24"/>
          <w:lang w:val="en-GB"/>
        </w:rPr>
        <w:t>s</w:t>
      </w:r>
      <w:r w:rsidR="00866255">
        <w:rPr>
          <w:rFonts w:cstheme="minorHAnsi"/>
          <w:sz w:val="24"/>
          <w:szCs w:val="24"/>
          <w:lang w:val="en-GB"/>
        </w:rPr>
        <w:t xml:space="preserve"> ISO standard(s), it must ensure that </w:t>
      </w:r>
      <w:r w:rsidR="001B6DE7" w:rsidRPr="00E14801">
        <w:rPr>
          <w:rFonts w:cstheme="minorHAnsi"/>
          <w:sz w:val="24"/>
          <w:szCs w:val="24"/>
          <w:lang w:val="en-GB"/>
        </w:rPr>
        <w:t xml:space="preserve">the </w:t>
      </w:r>
      <w:r w:rsidR="0016688F">
        <w:rPr>
          <w:rFonts w:cstheme="minorHAnsi"/>
          <w:sz w:val="24"/>
          <w:szCs w:val="24"/>
          <w:lang w:val="en-GB"/>
        </w:rPr>
        <w:t xml:space="preserve">applicable </w:t>
      </w:r>
      <w:r w:rsidR="001B6DE7" w:rsidRPr="00E14801">
        <w:rPr>
          <w:rFonts w:cstheme="minorHAnsi"/>
          <w:sz w:val="24"/>
          <w:szCs w:val="24"/>
          <w:lang w:val="en-GB"/>
        </w:rPr>
        <w:t>requiremen</w:t>
      </w:r>
      <w:r w:rsidR="00E93F9F">
        <w:rPr>
          <w:rFonts w:cstheme="minorHAnsi"/>
          <w:sz w:val="24"/>
          <w:szCs w:val="24"/>
          <w:lang w:val="en-GB"/>
        </w:rPr>
        <w:t xml:space="preserve">ts </w:t>
      </w:r>
      <w:r w:rsidR="001B6DE7" w:rsidRPr="00E14801">
        <w:rPr>
          <w:rFonts w:cstheme="minorHAnsi"/>
          <w:sz w:val="24"/>
          <w:szCs w:val="24"/>
          <w:lang w:val="en-GB"/>
        </w:rPr>
        <w:t>as placed in the EUBTCD</w:t>
      </w:r>
      <w:r w:rsidR="00866255">
        <w:rPr>
          <w:rFonts w:cstheme="minorHAnsi"/>
          <w:sz w:val="24"/>
          <w:szCs w:val="24"/>
          <w:lang w:val="en-GB"/>
        </w:rPr>
        <w:t xml:space="preserve"> are met.</w:t>
      </w:r>
      <w:r w:rsidR="001B6DE7" w:rsidRPr="00E14801">
        <w:rPr>
          <w:rFonts w:cstheme="minorHAnsi"/>
          <w:sz w:val="24"/>
          <w:szCs w:val="24"/>
          <w:lang w:val="en-GB"/>
        </w:rPr>
        <w:t xml:space="preserve">  </w:t>
      </w:r>
    </w:p>
    <w:p w14:paraId="23E21146" w14:textId="71CCA67A" w:rsidR="006F3CC6" w:rsidRDefault="00BE0755" w:rsidP="009A297D">
      <w:pPr>
        <w:pStyle w:val="Heading2"/>
        <w:numPr>
          <w:ilvl w:val="1"/>
          <w:numId w:val="14"/>
        </w:numPr>
        <w:rPr>
          <w:lang w:val="en-GB"/>
        </w:rPr>
      </w:pPr>
      <w:bookmarkStart w:id="11" w:name="_Toc41427150"/>
      <w:r>
        <w:rPr>
          <w:lang w:val="en-GB"/>
        </w:rPr>
        <w:lastRenderedPageBreak/>
        <w:t>Accreditation, designation, authorisation or licensing of laboratory by</w:t>
      </w:r>
      <w:r w:rsidR="0030005F" w:rsidRPr="00E14801">
        <w:rPr>
          <w:lang w:val="en-GB"/>
        </w:rPr>
        <w:t xml:space="preserve"> </w:t>
      </w:r>
      <w:r w:rsidR="00854EAE">
        <w:rPr>
          <w:lang w:val="en-GB"/>
        </w:rPr>
        <w:t xml:space="preserve">competent </w:t>
      </w:r>
      <w:r w:rsidR="0030005F" w:rsidRPr="00E14801">
        <w:rPr>
          <w:lang w:val="en-GB"/>
        </w:rPr>
        <w:t>authorit</w:t>
      </w:r>
      <w:r w:rsidR="00854EAE">
        <w:rPr>
          <w:lang w:val="en-GB"/>
        </w:rPr>
        <w:t>ies</w:t>
      </w:r>
      <w:bookmarkEnd w:id="11"/>
    </w:p>
    <w:p w14:paraId="07D1F94D" w14:textId="16F432E4" w:rsidR="0030005F" w:rsidRPr="006F3CC6" w:rsidRDefault="0030005F" w:rsidP="00637205">
      <w:pPr>
        <w:jc w:val="both"/>
        <w:rPr>
          <w:rFonts w:cstheme="majorBidi"/>
          <w:sz w:val="24"/>
          <w:szCs w:val="24"/>
          <w:lang w:val="en-GB"/>
        </w:rPr>
      </w:pPr>
      <w:r w:rsidRPr="006F3CC6">
        <w:rPr>
          <w:sz w:val="24"/>
          <w:szCs w:val="24"/>
          <w:lang w:val="en-GB"/>
        </w:rPr>
        <w:t>Based on the EUBTCDs</w:t>
      </w:r>
      <w:r w:rsidR="00C3071F">
        <w:rPr>
          <w:sz w:val="24"/>
          <w:szCs w:val="24"/>
          <w:lang w:val="en-GB"/>
        </w:rPr>
        <w:t>,</w:t>
      </w:r>
      <w:r w:rsidRPr="006F3CC6">
        <w:rPr>
          <w:sz w:val="24"/>
          <w:szCs w:val="24"/>
          <w:lang w:val="en-GB"/>
        </w:rPr>
        <w:t xml:space="preserve"> any laboratory under</w:t>
      </w:r>
      <w:r w:rsidR="00F801FA">
        <w:rPr>
          <w:sz w:val="24"/>
          <w:szCs w:val="24"/>
          <w:lang w:val="en-GB"/>
        </w:rPr>
        <w:t>taking donor</w:t>
      </w:r>
      <w:r w:rsidR="00961004">
        <w:rPr>
          <w:sz w:val="24"/>
          <w:szCs w:val="24"/>
          <w:lang w:val="en-GB"/>
        </w:rPr>
        <w:t xml:space="preserve"> testin</w:t>
      </w:r>
      <w:r w:rsidRPr="006F3CC6">
        <w:rPr>
          <w:sz w:val="24"/>
          <w:szCs w:val="24"/>
          <w:lang w:val="en-GB"/>
        </w:rPr>
        <w:t>g</w:t>
      </w:r>
      <w:r w:rsidR="00637205">
        <w:rPr>
          <w:sz w:val="24"/>
          <w:szCs w:val="24"/>
          <w:lang w:val="en-GB"/>
        </w:rPr>
        <w:t xml:space="preserve"> or </w:t>
      </w:r>
      <w:r w:rsidR="00F801FA">
        <w:rPr>
          <w:sz w:val="24"/>
          <w:szCs w:val="24"/>
          <w:lang w:val="en-GB"/>
        </w:rPr>
        <w:t xml:space="preserve">blood component, </w:t>
      </w:r>
      <w:r w:rsidR="00F801FA" w:rsidRPr="00F801FA">
        <w:rPr>
          <w:sz w:val="24"/>
          <w:szCs w:val="24"/>
          <w:lang w:val="en-GB"/>
        </w:rPr>
        <w:t>tissue and cell</w:t>
      </w:r>
      <w:r w:rsidR="00637205" w:rsidRPr="00F801FA">
        <w:rPr>
          <w:sz w:val="24"/>
          <w:szCs w:val="24"/>
          <w:lang w:val="en-GB"/>
        </w:rPr>
        <w:t xml:space="preserve"> testing</w:t>
      </w:r>
      <w:r w:rsidRPr="006F3CC6">
        <w:rPr>
          <w:sz w:val="24"/>
          <w:szCs w:val="24"/>
          <w:lang w:val="en-GB"/>
        </w:rPr>
        <w:t xml:space="preserve"> must be accredited, designated, authorized or licensed by the competent authority or authorities (</w:t>
      </w:r>
      <w:r w:rsidR="00C65B96">
        <w:rPr>
          <w:sz w:val="24"/>
          <w:szCs w:val="24"/>
        </w:rPr>
        <w:t>Directive 2002/98</w:t>
      </w:r>
      <w:r w:rsidR="006812E4" w:rsidRPr="006F3CC6">
        <w:rPr>
          <w:sz w:val="24"/>
          <w:szCs w:val="24"/>
        </w:rPr>
        <w:t xml:space="preserve">, </w:t>
      </w:r>
      <w:r w:rsidR="006812E4">
        <w:rPr>
          <w:sz w:val="24"/>
          <w:szCs w:val="24"/>
        </w:rPr>
        <w:t xml:space="preserve">Directive </w:t>
      </w:r>
      <w:r w:rsidR="002545BE">
        <w:rPr>
          <w:sz w:val="24"/>
          <w:szCs w:val="24"/>
        </w:rPr>
        <w:t>2006/17 Annex II 2.1</w:t>
      </w:r>
      <w:r w:rsidRPr="006F3CC6">
        <w:rPr>
          <w:sz w:val="24"/>
          <w:szCs w:val="24"/>
          <w:lang w:val="en-GB"/>
        </w:rPr>
        <w:t>). Furthermore, this should be performed again</w:t>
      </w:r>
      <w:r w:rsidR="006F3CC6" w:rsidRPr="006F3CC6">
        <w:rPr>
          <w:sz w:val="24"/>
          <w:szCs w:val="24"/>
          <w:lang w:val="en-GB"/>
        </w:rPr>
        <w:t>st the relevant standards</w:t>
      </w:r>
      <w:r w:rsidRPr="006F3CC6">
        <w:rPr>
          <w:sz w:val="24"/>
          <w:szCs w:val="24"/>
          <w:lang w:val="en-GB"/>
        </w:rPr>
        <w:t>.</w:t>
      </w:r>
    </w:p>
    <w:p w14:paraId="54FD4B57" w14:textId="3B3010C1" w:rsidR="00F332A3" w:rsidRPr="006F3CC6" w:rsidRDefault="0030005F" w:rsidP="00637205">
      <w:pPr>
        <w:jc w:val="both"/>
        <w:rPr>
          <w:sz w:val="24"/>
          <w:szCs w:val="24"/>
          <w:lang w:val="en-GB"/>
        </w:rPr>
      </w:pPr>
      <w:r w:rsidRPr="006F3CC6">
        <w:rPr>
          <w:sz w:val="24"/>
          <w:szCs w:val="24"/>
          <w:lang w:val="en-GB"/>
        </w:rPr>
        <w:t xml:space="preserve">Accreditation according to standards is an effective way to prove competence of the laboratory and it further facilitates accurate and </w:t>
      </w:r>
      <w:r w:rsidR="001B6DE7" w:rsidRPr="006F3CC6">
        <w:rPr>
          <w:sz w:val="24"/>
          <w:szCs w:val="24"/>
          <w:lang w:val="en-GB"/>
        </w:rPr>
        <w:t>reliable outcomes</w:t>
      </w:r>
      <w:r w:rsidRPr="006F3CC6">
        <w:rPr>
          <w:sz w:val="24"/>
          <w:szCs w:val="24"/>
          <w:lang w:val="en-GB"/>
        </w:rPr>
        <w:t xml:space="preserve"> and reduces errors in the laboratory processes (</w:t>
      </w:r>
      <w:r w:rsidR="00A82605">
        <w:rPr>
          <w:sz w:val="24"/>
          <w:szCs w:val="24"/>
          <w:lang w:val="en-GB"/>
        </w:rPr>
        <w:t>Allen 2013</w:t>
      </w:r>
      <w:r w:rsidRPr="006F3CC6">
        <w:rPr>
          <w:sz w:val="24"/>
          <w:szCs w:val="24"/>
          <w:lang w:val="en-GB"/>
        </w:rPr>
        <w:t xml:space="preserve">). </w:t>
      </w:r>
      <w:r w:rsidR="005C76E8">
        <w:rPr>
          <w:sz w:val="24"/>
          <w:szCs w:val="24"/>
          <w:lang w:val="en-GB"/>
        </w:rPr>
        <w:t>CAs</w:t>
      </w:r>
      <w:r w:rsidRPr="006F3CC6">
        <w:rPr>
          <w:sz w:val="24"/>
          <w:szCs w:val="24"/>
          <w:lang w:val="en-GB"/>
        </w:rPr>
        <w:t xml:space="preserve"> should, either themselves, or through a third party, accredit laboratories against standards. </w:t>
      </w:r>
    </w:p>
    <w:p w14:paraId="501E63BB" w14:textId="09907CF7" w:rsidR="00F25365" w:rsidRDefault="0030005F" w:rsidP="00637205">
      <w:pPr>
        <w:jc w:val="both"/>
        <w:rPr>
          <w:sz w:val="24"/>
          <w:szCs w:val="24"/>
          <w:lang w:val="en-GB"/>
        </w:rPr>
      </w:pPr>
      <w:r w:rsidRPr="006F3CC6">
        <w:rPr>
          <w:sz w:val="24"/>
          <w:szCs w:val="24"/>
          <w:lang w:val="en-GB"/>
        </w:rPr>
        <w:t>Whatever body is responsible, it must be competent to perform the accreditation/designation/</w:t>
      </w:r>
      <w:r w:rsidR="00DF3CAF">
        <w:rPr>
          <w:sz w:val="24"/>
          <w:szCs w:val="24"/>
          <w:lang w:val="en-GB"/>
        </w:rPr>
        <w:t xml:space="preserve"> /</w:t>
      </w:r>
      <w:r w:rsidRPr="006F3CC6">
        <w:rPr>
          <w:sz w:val="24"/>
          <w:szCs w:val="24"/>
          <w:lang w:val="en-GB"/>
        </w:rPr>
        <w:t xml:space="preserve">authorisation/licensing. </w:t>
      </w:r>
      <w:r w:rsidR="00637205">
        <w:rPr>
          <w:sz w:val="24"/>
          <w:szCs w:val="24"/>
          <w:lang w:val="en-GB"/>
        </w:rPr>
        <w:t>Therefore i</w:t>
      </w:r>
      <w:r w:rsidRPr="006F3CC6">
        <w:rPr>
          <w:sz w:val="24"/>
          <w:szCs w:val="24"/>
          <w:lang w:val="en-GB"/>
        </w:rPr>
        <w:t xml:space="preserve">t </w:t>
      </w:r>
      <w:r w:rsidR="00123DCF">
        <w:rPr>
          <w:sz w:val="24"/>
          <w:szCs w:val="24"/>
          <w:lang w:val="en-GB"/>
        </w:rPr>
        <w:t>should</w:t>
      </w:r>
      <w:r w:rsidRPr="006F3CC6">
        <w:rPr>
          <w:sz w:val="24"/>
          <w:szCs w:val="24"/>
          <w:lang w:val="en-GB"/>
        </w:rPr>
        <w:t xml:space="preserve"> itself be accredited</w:t>
      </w:r>
      <w:r w:rsidR="00123DCF">
        <w:rPr>
          <w:sz w:val="24"/>
          <w:szCs w:val="24"/>
          <w:lang w:val="en-GB"/>
        </w:rPr>
        <w:t>, designated</w:t>
      </w:r>
      <w:r w:rsidRPr="006F3CC6">
        <w:rPr>
          <w:sz w:val="24"/>
          <w:szCs w:val="24"/>
          <w:lang w:val="en-GB"/>
        </w:rPr>
        <w:t xml:space="preserve"> or licensed by the national CA or other relevant national</w:t>
      </w:r>
      <w:r w:rsidR="00123DCF">
        <w:rPr>
          <w:sz w:val="24"/>
          <w:szCs w:val="24"/>
          <w:lang w:val="en-GB"/>
        </w:rPr>
        <w:t>/international</w:t>
      </w:r>
      <w:r w:rsidRPr="006F3CC6">
        <w:rPr>
          <w:sz w:val="24"/>
          <w:szCs w:val="24"/>
          <w:lang w:val="en-GB"/>
        </w:rPr>
        <w:t xml:space="preserve"> body, to accredit/license the laboratories in question. </w:t>
      </w:r>
    </w:p>
    <w:p w14:paraId="7AB1A2B3" w14:textId="6E864EF8" w:rsidR="0030005F" w:rsidRPr="00BE3ED7" w:rsidRDefault="008C4F6F" w:rsidP="009A297D">
      <w:pPr>
        <w:pStyle w:val="Heading2"/>
        <w:numPr>
          <w:ilvl w:val="1"/>
          <w:numId w:val="14"/>
        </w:numPr>
        <w:rPr>
          <w:lang w:val="en-GB"/>
        </w:rPr>
      </w:pPr>
      <w:bookmarkStart w:id="12" w:name="_Toc41427151"/>
      <w:r w:rsidRPr="00BE3ED7">
        <w:t>Information on testing laboratorie</w:t>
      </w:r>
      <w:r w:rsidRPr="00BE3ED7">
        <w:rPr>
          <w:lang w:val="en-GB"/>
        </w:rPr>
        <w:t>s</w:t>
      </w:r>
      <w:bookmarkEnd w:id="12"/>
    </w:p>
    <w:p w14:paraId="55C2A8D6" w14:textId="3FECD778" w:rsidR="00365D1A" w:rsidRPr="004F4928" w:rsidRDefault="004F4928" w:rsidP="00365D1A">
      <w:pPr>
        <w:spacing w:after="0"/>
        <w:jc w:val="both"/>
        <w:rPr>
          <w:rFonts w:cstheme="minorHAnsi"/>
          <w:sz w:val="24"/>
          <w:szCs w:val="24"/>
        </w:rPr>
      </w:pPr>
      <w:r w:rsidRPr="004F4928">
        <w:rPr>
          <w:sz w:val="24"/>
          <w:szCs w:val="24"/>
        </w:rPr>
        <w:t xml:space="preserve">For the purposes of evaluating and authorising BTC preparation processes, </w:t>
      </w:r>
      <w:r w:rsidR="003C7CFD" w:rsidRPr="004F4928">
        <w:rPr>
          <w:rFonts w:cstheme="minorHAnsi"/>
          <w:sz w:val="24"/>
          <w:szCs w:val="24"/>
          <w:lang w:val="en-GB"/>
        </w:rPr>
        <w:t>e</w:t>
      </w:r>
      <w:r w:rsidR="0030005F" w:rsidRPr="004F4928">
        <w:rPr>
          <w:rFonts w:cstheme="minorHAnsi"/>
          <w:sz w:val="24"/>
          <w:szCs w:val="24"/>
          <w:lang w:val="en-GB"/>
        </w:rPr>
        <w:t xml:space="preserve">vidence should be available to show that any </w:t>
      </w:r>
      <w:r w:rsidR="00961004">
        <w:rPr>
          <w:rFonts w:cstheme="minorHAnsi"/>
          <w:sz w:val="24"/>
          <w:szCs w:val="24"/>
          <w:lang w:val="en-GB"/>
        </w:rPr>
        <w:t xml:space="preserve">laboratory involved in </w:t>
      </w:r>
      <w:r w:rsidR="0030005F" w:rsidRPr="004F4928">
        <w:rPr>
          <w:rFonts w:cstheme="minorHAnsi"/>
          <w:sz w:val="24"/>
          <w:szCs w:val="24"/>
          <w:lang w:val="en-GB"/>
        </w:rPr>
        <w:t>donor infec</w:t>
      </w:r>
      <w:r w:rsidR="00961004">
        <w:rPr>
          <w:rFonts w:cstheme="minorHAnsi"/>
          <w:sz w:val="24"/>
          <w:szCs w:val="24"/>
          <w:lang w:val="en-GB"/>
        </w:rPr>
        <w:t>tious disease marker test</w:t>
      </w:r>
      <w:r w:rsidR="0030005F" w:rsidRPr="004F4928">
        <w:rPr>
          <w:rFonts w:cstheme="minorHAnsi"/>
          <w:sz w:val="24"/>
          <w:szCs w:val="24"/>
          <w:lang w:val="en-GB"/>
        </w:rPr>
        <w:t>ing and microbiological testing of blood components/tissues/cell grafts has been accredited, designated, licensed and/or authorised</w:t>
      </w:r>
      <w:r w:rsidR="00F801FA">
        <w:rPr>
          <w:rFonts w:cstheme="minorHAnsi"/>
          <w:sz w:val="24"/>
          <w:szCs w:val="24"/>
          <w:lang w:val="en-GB"/>
        </w:rPr>
        <w:t xml:space="preserve"> by the appropriate authority</w:t>
      </w:r>
      <w:r w:rsidR="0030005F" w:rsidRPr="004F4928">
        <w:rPr>
          <w:rFonts w:cstheme="minorHAnsi"/>
          <w:sz w:val="24"/>
          <w:szCs w:val="24"/>
          <w:lang w:val="en-GB"/>
        </w:rPr>
        <w:t xml:space="preserve">. </w:t>
      </w:r>
      <w:r>
        <w:rPr>
          <w:rFonts w:cstheme="minorHAnsi"/>
          <w:sz w:val="24"/>
          <w:szCs w:val="24"/>
          <w:lang w:val="en-GB"/>
        </w:rPr>
        <w:t>Furthermore, to share this</w:t>
      </w:r>
      <w:r w:rsidRPr="004F4928">
        <w:rPr>
          <w:rFonts w:cstheme="minorHAnsi"/>
          <w:sz w:val="24"/>
          <w:szCs w:val="24"/>
          <w:lang w:val="en-GB"/>
        </w:rPr>
        <w:t xml:space="preserve"> knowledge and to increase mutual trust </w:t>
      </w:r>
      <w:r w:rsidRPr="004F4928">
        <w:rPr>
          <w:rFonts w:cstheme="minorHAnsi"/>
          <w:sz w:val="24"/>
          <w:szCs w:val="24"/>
        </w:rPr>
        <w:t xml:space="preserve">in case of </w:t>
      </w:r>
      <w:r w:rsidR="009F607F">
        <w:rPr>
          <w:rFonts w:cstheme="minorHAnsi"/>
          <w:sz w:val="24"/>
          <w:szCs w:val="24"/>
        </w:rPr>
        <w:t>BTC</w:t>
      </w:r>
      <w:r w:rsidR="009F607F" w:rsidRPr="004F4928">
        <w:rPr>
          <w:rFonts w:cstheme="minorHAnsi"/>
          <w:sz w:val="24"/>
          <w:szCs w:val="24"/>
        </w:rPr>
        <w:t xml:space="preserve"> </w:t>
      </w:r>
      <w:r w:rsidRPr="004F4928">
        <w:rPr>
          <w:rFonts w:cstheme="minorHAnsi"/>
          <w:sz w:val="24"/>
          <w:szCs w:val="24"/>
        </w:rPr>
        <w:t xml:space="preserve">export to </w:t>
      </w:r>
      <w:r w:rsidR="00F801FA">
        <w:rPr>
          <w:rFonts w:cstheme="minorHAnsi"/>
          <w:sz w:val="24"/>
          <w:szCs w:val="24"/>
        </w:rPr>
        <w:t>other EU</w:t>
      </w:r>
      <w:r w:rsidRPr="004F4928">
        <w:rPr>
          <w:rFonts w:cstheme="minorHAnsi"/>
          <w:sz w:val="24"/>
          <w:szCs w:val="24"/>
        </w:rPr>
        <w:t xml:space="preserve"> </w:t>
      </w:r>
      <w:r w:rsidR="009F607F">
        <w:rPr>
          <w:rFonts w:cstheme="minorHAnsi"/>
          <w:sz w:val="24"/>
          <w:szCs w:val="24"/>
        </w:rPr>
        <w:t>MSs</w:t>
      </w:r>
      <w:r>
        <w:rPr>
          <w:rFonts w:cstheme="minorHAnsi"/>
          <w:sz w:val="24"/>
          <w:szCs w:val="24"/>
        </w:rPr>
        <w:t xml:space="preserve">, this information should be presented </w:t>
      </w:r>
      <w:r w:rsidR="00427BEE">
        <w:rPr>
          <w:rFonts w:cstheme="minorHAnsi"/>
          <w:sz w:val="24"/>
          <w:szCs w:val="24"/>
        </w:rPr>
        <w:t xml:space="preserve">by the applicant </w:t>
      </w:r>
      <w:r>
        <w:rPr>
          <w:rFonts w:cstheme="minorHAnsi"/>
          <w:sz w:val="24"/>
          <w:szCs w:val="24"/>
        </w:rPr>
        <w:t>as part of</w:t>
      </w:r>
      <w:r w:rsidRPr="004F4928">
        <w:rPr>
          <w:sz w:val="24"/>
          <w:szCs w:val="24"/>
        </w:rPr>
        <w:t xml:space="preserve"> Preparation Process Doss</w:t>
      </w:r>
      <w:r>
        <w:rPr>
          <w:sz w:val="24"/>
          <w:szCs w:val="24"/>
        </w:rPr>
        <w:t>ier</w:t>
      </w:r>
      <w:r w:rsidR="009F607F">
        <w:rPr>
          <w:sz w:val="24"/>
          <w:szCs w:val="24"/>
        </w:rPr>
        <w:t xml:space="preserve"> (PPD)</w:t>
      </w:r>
      <w:r>
        <w:rPr>
          <w:sz w:val="24"/>
          <w:szCs w:val="24"/>
        </w:rPr>
        <w:t>.</w:t>
      </w:r>
    </w:p>
    <w:p w14:paraId="4501F789" w14:textId="1420F67A" w:rsidR="00ED4E27" w:rsidRPr="00ED4E27" w:rsidRDefault="00ED4E27" w:rsidP="0011204D">
      <w:pPr>
        <w:pStyle w:val="Heading3"/>
        <w:spacing w:after="240"/>
        <w:rPr>
          <w:rFonts w:cstheme="majorHAnsi"/>
          <w:b/>
          <w:sz w:val="24"/>
          <w:szCs w:val="24"/>
          <w:lang w:val="en-GB"/>
        </w:rPr>
      </w:pPr>
    </w:p>
    <w:tbl>
      <w:tblPr>
        <w:tblStyle w:val="TableGrid"/>
        <w:tblW w:w="9634" w:type="dxa"/>
        <w:tblLayout w:type="fixed"/>
        <w:tblLook w:val="04A0" w:firstRow="1" w:lastRow="0" w:firstColumn="1" w:lastColumn="0" w:noHBand="0" w:noVBand="1"/>
      </w:tblPr>
      <w:tblGrid>
        <w:gridCol w:w="1129"/>
        <w:gridCol w:w="1307"/>
        <w:gridCol w:w="1387"/>
        <w:gridCol w:w="1701"/>
        <w:gridCol w:w="1842"/>
        <w:gridCol w:w="1276"/>
        <w:gridCol w:w="992"/>
      </w:tblGrid>
      <w:tr w:rsidR="0048726D" w:rsidRPr="00210285" w14:paraId="4A2CD5CE" w14:textId="77777777" w:rsidTr="0016688F">
        <w:tc>
          <w:tcPr>
            <w:tcW w:w="1129" w:type="dxa"/>
          </w:tcPr>
          <w:p w14:paraId="3C9DADD8" w14:textId="77777777" w:rsidR="0048726D" w:rsidRPr="00B54DC6" w:rsidRDefault="0048726D" w:rsidP="00BD0878">
            <w:pPr>
              <w:rPr>
                <w:sz w:val="20"/>
                <w:szCs w:val="20"/>
              </w:rPr>
            </w:pPr>
          </w:p>
        </w:tc>
        <w:tc>
          <w:tcPr>
            <w:tcW w:w="1307" w:type="dxa"/>
            <w:shd w:val="clear" w:color="auto" w:fill="auto"/>
          </w:tcPr>
          <w:p w14:paraId="0823179B" w14:textId="77777777" w:rsidR="0048726D" w:rsidRDefault="0048726D" w:rsidP="00BD0878">
            <w:pPr>
              <w:rPr>
                <w:sz w:val="20"/>
                <w:szCs w:val="20"/>
              </w:rPr>
            </w:pPr>
          </w:p>
        </w:tc>
        <w:tc>
          <w:tcPr>
            <w:tcW w:w="1387" w:type="dxa"/>
            <w:shd w:val="clear" w:color="auto" w:fill="D8D8D8" w:themeFill="accent1" w:themeFillTint="33"/>
          </w:tcPr>
          <w:p w14:paraId="454D4A82" w14:textId="77777777" w:rsidR="0048726D" w:rsidRPr="00B54DC6" w:rsidRDefault="0048726D" w:rsidP="00BD0878">
            <w:pPr>
              <w:rPr>
                <w:sz w:val="20"/>
                <w:szCs w:val="20"/>
              </w:rPr>
            </w:pPr>
            <w:r>
              <w:rPr>
                <w:sz w:val="20"/>
                <w:szCs w:val="20"/>
              </w:rPr>
              <w:t>Requirements</w:t>
            </w:r>
          </w:p>
        </w:tc>
        <w:tc>
          <w:tcPr>
            <w:tcW w:w="1701" w:type="dxa"/>
            <w:shd w:val="clear" w:color="auto" w:fill="D8D8D8" w:themeFill="accent1" w:themeFillTint="33"/>
          </w:tcPr>
          <w:p w14:paraId="413035B8" w14:textId="77777777" w:rsidR="0048726D" w:rsidRPr="00B54DC6" w:rsidRDefault="0048726D" w:rsidP="00BD0878">
            <w:pPr>
              <w:rPr>
                <w:sz w:val="20"/>
                <w:szCs w:val="20"/>
              </w:rPr>
            </w:pPr>
            <w:r>
              <w:rPr>
                <w:sz w:val="20"/>
                <w:szCs w:val="20"/>
              </w:rPr>
              <w:t>Criteria</w:t>
            </w:r>
          </w:p>
        </w:tc>
        <w:tc>
          <w:tcPr>
            <w:tcW w:w="1842" w:type="dxa"/>
            <w:shd w:val="clear" w:color="auto" w:fill="D8D8D8" w:themeFill="accent1" w:themeFillTint="33"/>
          </w:tcPr>
          <w:p w14:paraId="71899B2C" w14:textId="739F4085" w:rsidR="0048726D" w:rsidRDefault="00133720" w:rsidP="00BD0878">
            <w:pPr>
              <w:rPr>
                <w:sz w:val="20"/>
                <w:szCs w:val="20"/>
              </w:rPr>
            </w:pPr>
            <w:r>
              <w:rPr>
                <w:sz w:val="20"/>
                <w:szCs w:val="20"/>
              </w:rPr>
              <w:t>Additional/Optional information</w:t>
            </w:r>
          </w:p>
        </w:tc>
        <w:tc>
          <w:tcPr>
            <w:tcW w:w="1276" w:type="dxa"/>
            <w:shd w:val="clear" w:color="auto" w:fill="D8D8D8" w:themeFill="accent1" w:themeFillTint="33"/>
          </w:tcPr>
          <w:p w14:paraId="4712E430" w14:textId="77777777" w:rsidR="0048726D" w:rsidRPr="00B54DC6" w:rsidRDefault="0048726D" w:rsidP="00BD0878">
            <w:pPr>
              <w:rPr>
                <w:sz w:val="20"/>
                <w:szCs w:val="20"/>
              </w:rPr>
            </w:pPr>
            <w:r>
              <w:rPr>
                <w:sz w:val="20"/>
                <w:szCs w:val="20"/>
              </w:rPr>
              <w:t>Specifications</w:t>
            </w:r>
          </w:p>
        </w:tc>
        <w:tc>
          <w:tcPr>
            <w:tcW w:w="992" w:type="dxa"/>
            <w:shd w:val="clear" w:color="auto" w:fill="D8D8D8" w:themeFill="accent1" w:themeFillTint="33"/>
          </w:tcPr>
          <w:p w14:paraId="3AC8F35C" w14:textId="77777777" w:rsidR="0048726D" w:rsidRPr="00B54DC6" w:rsidRDefault="0048726D" w:rsidP="00BD0878">
            <w:pPr>
              <w:rPr>
                <w:sz w:val="20"/>
                <w:szCs w:val="20"/>
              </w:rPr>
            </w:pPr>
            <w:r>
              <w:rPr>
                <w:sz w:val="20"/>
                <w:szCs w:val="20"/>
              </w:rPr>
              <w:t>Conform</w:t>
            </w:r>
          </w:p>
        </w:tc>
      </w:tr>
      <w:tr w:rsidR="0048726D" w:rsidRPr="00210285" w14:paraId="3B75A78E" w14:textId="77777777" w:rsidTr="0016688F">
        <w:trPr>
          <w:trHeight w:val="471"/>
        </w:trPr>
        <w:tc>
          <w:tcPr>
            <w:tcW w:w="1129" w:type="dxa"/>
            <w:vMerge w:val="restart"/>
            <w:shd w:val="clear" w:color="auto" w:fill="D8D8D8" w:themeFill="accent1" w:themeFillTint="33"/>
          </w:tcPr>
          <w:p w14:paraId="39F20654" w14:textId="7CCB72A9" w:rsidR="0048726D" w:rsidRPr="00B54DC6" w:rsidRDefault="00E93F9F" w:rsidP="00BD0878">
            <w:pPr>
              <w:rPr>
                <w:sz w:val="20"/>
                <w:szCs w:val="20"/>
              </w:rPr>
            </w:pPr>
            <w:r>
              <w:rPr>
                <w:sz w:val="20"/>
                <w:szCs w:val="20"/>
              </w:rPr>
              <w:t>Donor test</w:t>
            </w:r>
            <w:r w:rsidR="0048726D">
              <w:rPr>
                <w:sz w:val="20"/>
                <w:szCs w:val="20"/>
              </w:rPr>
              <w:t>ing laboratory</w:t>
            </w:r>
          </w:p>
        </w:tc>
        <w:tc>
          <w:tcPr>
            <w:tcW w:w="1307" w:type="dxa"/>
            <w:shd w:val="clear" w:color="auto" w:fill="D8D8D8" w:themeFill="accent1" w:themeFillTint="33"/>
          </w:tcPr>
          <w:p w14:paraId="14E99F8E" w14:textId="77777777" w:rsidR="0048726D" w:rsidRDefault="0048726D" w:rsidP="00BD0878">
            <w:pPr>
              <w:rPr>
                <w:sz w:val="20"/>
                <w:szCs w:val="20"/>
              </w:rPr>
            </w:pPr>
            <w:r>
              <w:rPr>
                <w:sz w:val="20"/>
                <w:szCs w:val="20"/>
              </w:rPr>
              <w:t>Laboratory</w:t>
            </w:r>
          </w:p>
        </w:tc>
        <w:tc>
          <w:tcPr>
            <w:tcW w:w="1387" w:type="dxa"/>
            <w:vMerge w:val="restart"/>
            <w:shd w:val="clear" w:color="auto" w:fill="D8D8D8" w:themeFill="accent1" w:themeFillTint="33"/>
          </w:tcPr>
          <w:p w14:paraId="619AD8A9" w14:textId="77777777" w:rsidR="0048726D" w:rsidRDefault="0048726D" w:rsidP="00BD0878">
            <w:pPr>
              <w:rPr>
                <w:sz w:val="20"/>
                <w:szCs w:val="20"/>
              </w:rPr>
            </w:pPr>
            <w:r>
              <w:rPr>
                <w:sz w:val="20"/>
                <w:szCs w:val="20"/>
              </w:rPr>
              <w:t>Quality system(s) of the laboratory</w:t>
            </w:r>
          </w:p>
          <w:p w14:paraId="0C76AF94" w14:textId="77777777" w:rsidR="0048726D" w:rsidRDefault="0048726D" w:rsidP="00BD0878">
            <w:pPr>
              <w:rPr>
                <w:sz w:val="20"/>
                <w:szCs w:val="20"/>
              </w:rPr>
            </w:pPr>
          </w:p>
          <w:p w14:paraId="403A6E9F" w14:textId="77777777" w:rsidR="0048726D" w:rsidRPr="00B54DC6" w:rsidRDefault="0048726D" w:rsidP="00BD0878">
            <w:pPr>
              <w:rPr>
                <w:sz w:val="20"/>
                <w:szCs w:val="20"/>
              </w:rPr>
            </w:pPr>
          </w:p>
        </w:tc>
        <w:tc>
          <w:tcPr>
            <w:tcW w:w="1701" w:type="dxa"/>
            <w:vMerge w:val="restart"/>
          </w:tcPr>
          <w:p w14:paraId="1CB2A9E6" w14:textId="77777777" w:rsidR="0048726D" w:rsidRDefault="0048726D" w:rsidP="00BD0878">
            <w:pPr>
              <w:rPr>
                <w:sz w:val="20"/>
                <w:szCs w:val="20"/>
              </w:rPr>
            </w:pPr>
            <w:r>
              <w:rPr>
                <w:sz w:val="20"/>
                <w:szCs w:val="20"/>
              </w:rPr>
              <w:t>2005/62/EC / Blood donations</w:t>
            </w:r>
          </w:p>
          <w:p w14:paraId="0D2C91C2" w14:textId="77777777" w:rsidR="0048726D" w:rsidRDefault="0048726D" w:rsidP="00BD0878">
            <w:pPr>
              <w:rPr>
                <w:sz w:val="20"/>
                <w:szCs w:val="20"/>
              </w:rPr>
            </w:pPr>
          </w:p>
          <w:p w14:paraId="01E0719C" w14:textId="77777777" w:rsidR="0048726D" w:rsidRPr="00B54DC6" w:rsidRDefault="0048726D" w:rsidP="00BD0878">
            <w:pPr>
              <w:rPr>
                <w:sz w:val="20"/>
                <w:szCs w:val="20"/>
              </w:rPr>
            </w:pPr>
            <w:r>
              <w:rPr>
                <w:sz w:val="20"/>
                <w:szCs w:val="20"/>
              </w:rPr>
              <w:t>2004/23/EC / T&amp;C donors</w:t>
            </w:r>
          </w:p>
        </w:tc>
        <w:tc>
          <w:tcPr>
            <w:tcW w:w="1842" w:type="dxa"/>
            <w:vMerge w:val="restart"/>
          </w:tcPr>
          <w:p w14:paraId="1A730EA5" w14:textId="77777777" w:rsidR="0048726D" w:rsidRPr="00B54DC6" w:rsidRDefault="0048726D" w:rsidP="00BD0878">
            <w:pPr>
              <w:rPr>
                <w:sz w:val="20"/>
                <w:szCs w:val="20"/>
              </w:rPr>
            </w:pPr>
          </w:p>
        </w:tc>
        <w:tc>
          <w:tcPr>
            <w:tcW w:w="1276" w:type="dxa"/>
            <w:vMerge w:val="restart"/>
          </w:tcPr>
          <w:p w14:paraId="4B05806C" w14:textId="77777777" w:rsidR="0048726D" w:rsidRPr="00B54DC6" w:rsidRDefault="0048726D" w:rsidP="00BD0878">
            <w:pPr>
              <w:rPr>
                <w:sz w:val="20"/>
                <w:szCs w:val="20"/>
              </w:rPr>
            </w:pPr>
          </w:p>
        </w:tc>
        <w:tc>
          <w:tcPr>
            <w:tcW w:w="992" w:type="dxa"/>
            <w:vMerge w:val="restart"/>
          </w:tcPr>
          <w:p w14:paraId="2D1C8DB8" w14:textId="77777777" w:rsidR="0048726D" w:rsidRPr="00B54DC6" w:rsidRDefault="0048726D" w:rsidP="00BD0878">
            <w:pPr>
              <w:rPr>
                <w:sz w:val="20"/>
                <w:szCs w:val="20"/>
              </w:rPr>
            </w:pPr>
          </w:p>
        </w:tc>
      </w:tr>
      <w:tr w:rsidR="0048726D" w:rsidRPr="00210285" w14:paraId="42C2D02C" w14:textId="77777777" w:rsidTr="0016688F">
        <w:trPr>
          <w:trHeight w:val="471"/>
        </w:trPr>
        <w:tc>
          <w:tcPr>
            <w:tcW w:w="1129" w:type="dxa"/>
            <w:vMerge/>
            <w:shd w:val="clear" w:color="auto" w:fill="D8D8D8" w:themeFill="accent1" w:themeFillTint="33"/>
          </w:tcPr>
          <w:p w14:paraId="2BA9D904" w14:textId="77777777" w:rsidR="0048726D" w:rsidRDefault="0048726D" w:rsidP="00BD0878">
            <w:pPr>
              <w:rPr>
                <w:sz w:val="20"/>
                <w:szCs w:val="20"/>
              </w:rPr>
            </w:pPr>
          </w:p>
        </w:tc>
        <w:tc>
          <w:tcPr>
            <w:tcW w:w="1307" w:type="dxa"/>
            <w:vMerge w:val="restart"/>
          </w:tcPr>
          <w:p w14:paraId="2DF72D8B" w14:textId="77777777" w:rsidR="0048726D" w:rsidRPr="00EA4240" w:rsidRDefault="0048726D" w:rsidP="00BD0878">
            <w:pPr>
              <w:rPr>
                <w:sz w:val="20"/>
                <w:szCs w:val="20"/>
              </w:rPr>
            </w:pPr>
            <w:r w:rsidRPr="00EA4240">
              <w:rPr>
                <w:sz w:val="20"/>
                <w:szCs w:val="20"/>
              </w:rPr>
              <w:t>Name of the laboratory</w:t>
            </w:r>
          </w:p>
        </w:tc>
        <w:tc>
          <w:tcPr>
            <w:tcW w:w="1387" w:type="dxa"/>
            <w:vMerge/>
            <w:shd w:val="clear" w:color="auto" w:fill="D8D8D8" w:themeFill="accent1" w:themeFillTint="33"/>
          </w:tcPr>
          <w:p w14:paraId="7E9B0515" w14:textId="77777777" w:rsidR="0048726D" w:rsidRDefault="0048726D" w:rsidP="00BD0878">
            <w:pPr>
              <w:rPr>
                <w:sz w:val="20"/>
                <w:szCs w:val="20"/>
              </w:rPr>
            </w:pPr>
          </w:p>
        </w:tc>
        <w:tc>
          <w:tcPr>
            <w:tcW w:w="1701" w:type="dxa"/>
            <w:vMerge/>
          </w:tcPr>
          <w:p w14:paraId="1C1F03CC" w14:textId="77777777" w:rsidR="0048726D" w:rsidRDefault="0048726D" w:rsidP="00BD0878">
            <w:pPr>
              <w:rPr>
                <w:sz w:val="20"/>
                <w:szCs w:val="20"/>
              </w:rPr>
            </w:pPr>
          </w:p>
        </w:tc>
        <w:tc>
          <w:tcPr>
            <w:tcW w:w="1842" w:type="dxa"/>
            <w:vMerge/>
          </w:tcPr>
          <w:p w14:paraId="6CE164AD" w14:textId="77777777" w:rsidR="0048726D" w:rsidRPr="00B54DC6" w:rsidRDefault="0048726D" w:rsidP="00BD0878">
            <w:pPr>
              <w:rPr>
                <w:sz w:val="20"/>
                <w:szCs w:val="20"/>
              </w:rPr>
            </w:pPr>
          </w:p>
        </w:tc>
        <w:tc>
          <w:tcPr>
            <w:tcW w:w="1276" w:type="dxa"/>
            <w:vMerge/>
          </w:tcPr>
          <w:p w14:paraId="1DE02A33" w14:textId="77777777" w:rsidR="0048726D" w:rsidRPr="00B54DC6" w:rsidRDefault="0048726D" w:rsidP="00BD0878">
            <w:pPr>
              <w:rPr>
                <w:sz w:val="20"/>
                <w:szCs w:val="20"/>
              </w:rPr>
            </w:pPr>
          </w:p>
        </w:tc>
        <w:tc>
          <w:tcPr>
            <w:tcW w:w="992" w:type="dxa"/>
            <w:vMerge/>
          </w:tcPr>
          <w:p w14:paraId="3BBFA8FD" w14:textId="77777777" w:rsidR="0048726D" w:rsidRPr="00B54DC6" w:rsidRDefault="0048726D" w:rsidP="00BD0878">
            <w:pPr>
              <w:rPr>
                <w:sz w:val="20"/>
                <w:szCs w:val="20"/>
              </w:rPr>
            </w:pPr>
          </w:p>
        </w:tc>
      </w:tr>
      <w:tr w:rsidR="0048726D" w:rsidRPr="00210285" w14:paraId="60E77D04" w14:textId="77777777" w:rsidTr="0016688F">
        <w:trPr>
          <w:trHeight w:val="249"/>
        </w:trPr>
        <w:tc>
          <w:tcPr>
            <w:tcW w:w="1129" w:type="dxa"/>
            <w:vMerge/>
            <w:shd w:val="clear" w:color="auto" w:fill="D8D8D8" w:themeFill="accent1" w:themeFillTint="33"/>
          </w:tcPr>
          <w:p w14:paraId="46B8EECB" w14:textId="77777777" w:rsidR="0048726D" w:rsidRDefault="0048726D" w:rsidP="00BD0878">
            <w:pPr>
              <w:rPr>
                <w:sz w:val="20"/>
                <w:szCs w:val="20"/>
              </w:rPr>
            </w:pPr>
          </w:p>
        </w:tc>
        <w:tc>
          <w:tcPr>
            <w:tcW w:w="1307" w:type="dxa"/>
            <w:vMerge/>
          </w:tcPr>
          <w:p w14:paraId="3FADAE2C" w14:textId="77777777" w:rsidR="0048726D" w:rsidRPr="00EA4240" w:rsidRDefault="0048726D" w:rsidP="00BD0878">
            <w:pPr>
              <w:rPr>
                <w:b/>
                <w:sz w:val="20"/>
                <w:szCs w:val="20"/>
              </w:rPr>
            </w:pPr>
          </w:p>
        </w:tc>
        <w:tc>
          <w:tcPr>
            <w:tcW w:w="1387" w:type="dxa"/>
            <w:shd w:val="clear" w:color="auto" w:fill="D8D8D8" w:themeFill="accent1" w:themeFillTint="33"/>
          </w:tcPr>
          <w:p w14:paraId="04FFB251" w14:textId="77777777" w:rsidR="0048726D" w:rsidRDefault="0048726D" w:rsidP="00BD0878">
            <w:pPr>
              <w:rPr>
                <w:sz w:val="20"/>
                <w:szCs w:val="20"/>
              </w:rPr>
            </w:pPr>
            <w:r>
              <w:rPr>
                <w:sz w:val="20"/>
                <w:szCs w:val="20"/>
              </w:rPr>
              <w:t>Standard that laboratory follows</w:t>
            </w:r>
          </w:p>
          <w:p w14:paraId="60688938" w14:textId="77777777" w:rsidR="0048726D" w:rsidRDefault="0048726D" w:rsidP="00BD0878">
            <w:pPr>
              <w:rPr>
                <w:sz w:val="20"/>
                <w:szCs w:val="20"/>
              </w:rPr>
            </w:pPr>
          </w:p>
          <w:p w14:paraId="2565013D" w14:textId="77777777" w:rsidR="0048726D" w:rsidRPr="00B54DC6" w:rsidRDefault="0048726D" w:rsidP="00BD0878">
            <w:pPr>
              <w:rPr>
                <w:sz w:val="20"/>
                <w:szCs w:val="20"/>
              </w:rPr>
            </w:pPr>
          </w:p>
        </w:tc>
        <w:tc>
          <w:tcPr>
            <w:tcW w:w="1701" w:type="dxa"/>
          </w:tcPr>
          <w:p w14:paraId="2EED371C" w14:textId="77777777" w:rsidR="0048726D" w:rsidRDefault="0048726D" w:rsidP="00BD0878">
            <w:pPr>
              <w:rPr>
                <w:sz w:val="20"/>
                <w:szCs w:val="20"/>
              </w:rPr>
            </w:pPr>
            <w:r>
              <w:rPr>
                <w:sz w:val="20"/>
                <w:szCs w:val="20"/>
              </w:rPr>
              <w:t>Blood Directives</w:t>
            </w:r>
          </w:p>
          <w:p w14:paraId="5D67FE9E" w14:textId="77777777" w:rsidR="0048726D" w:rsidRDefault="0048726D" w:rsidP="00BD0878">
            <w:pPr>
              <w:rPr>
                <w:sz w:val="20"/>
                <w:szCs w:val="20"/>
              </w:rPr>
            </w:pPr>
            <w:r>
              <w:rPr>
                <w:sz w:val="20"/>
                <w:szCs w:val="20"/>
              </w:rPr>
              <w:t>Good Practice Guideline/EDQM</w:t>
            </w:r>
          </w:p>
          <w:p w14:paraId="799FDE3E" w14:textId="77777777" w:rsidR="0048726D" w:rsidRDefault="0048726D" w:rsidP="00BD0878">
            <w:pPr>
              <w:rPr>
                <w:sz w:val="20"/>
                <w:szCs w:val="20"/>
              </w:rPr>
            </w:pPr>
          </w:p>
          <w:p w14:paraId="051DF17B" w14:textId="77777777" w:rsidR="0048726D" w:rsidRPr="00B54DC6" w:rsidRDefault="0048726D" w:rsidP="00BD0878">
            <w:pPr>
              <w:rPr>
                <w:sz w:val="20"/>
                <w:szCs w:val="20"/>
              </w:rPr>
            </w:pPr>
            <w:r>
              <w:rPr>
                <w:sz w:val="20"/>
                <w:szCs w:val="20"/>
              </w:rPr>
              <w:t>T&amp;C Directives</w:t>
            </w:r>
          </w:p>
        </w:tc>
        <w:tc>
          <w:tcPr>
            <w:tcW w:w="1842" w:type="dxa"/>
          </w:tcPr>
          <w:p w14:paraId="68C5A006" w14:textId="77777777" w:rsidR="0048726D" w:rsidRDefault="0048726D" w:rsidP="00BD0878">
            <w:pPr>
              <w:rPr>
                <w:sz w:val="20"/>
                <w:szCs w:val="20"/>
              </w:rPr>
            </w:pPr>
            <w:r>
              <w:rPr>
                <w:sz w:val="20"/>
                <w:szCs w:val="20"/>
              </w:rPr>
              <w:t>e.g. ISO15189,</w:t>
            </w:r>
          </w:p>
          <w:p w14:paraId="0098E3B2" w14:textId="77777777" w:rsidR="0048726D" w:rsidRDefault="0048726D" w:rsidP="00BD0878">
            <w:pPr>
              <w:rPr>
                <w:sz w:val="20"/>
                <w:szCs w:val="20"/>
              </w:rPr>
            </w:pPr>
            <w:r>
              <w:rPr>
                <w:sz w:val="20"/>
                <w:szCs w:val="20"/>
              </w:rPr>
              <w:t>ISO17025,</w:t>
            </w:r>
          </w:p>
          <w:p w14:paraId="0463CB28" w14:textId="77777777" w:rsidR="0048726D" w:rsidRPr="00B54DC6" w:rsidRDefault="0048726D" w:rsidP="00BD0878">
            <w:pPr>
              <w:rPr>
                <w:sz w:val="20"/>
                <w:szCs w:val="20"/>
              </w:rPr>
            </w:pPr>
            <w:r>
              <w:rPr>
                <w:sz w:val="20"/>
                <w:szCs w:val="20"/>
              </w:rPr>
              <w:t xml:space="preserve">national standards </w:t>
            </w:r>
          </w:p>
        </w:tc>
        <w:tc>
          <w:tcPr>
            <w:tcW w:w="1276" w:type="dxa"/>
          </w:tcPr>
          <w:p w14:paraId="03756673" w14:textId="77777777" w:rsidR="0048726D" w:rsidRPr="00B54DC6" w:rsidRDefault="0048726D" w:rsidP="00BD0878">
            <w:pPr>
              <w:rPr>
                <w:sz w:val="20"/>
                <w:szCs w:val="20"/>
              </w:rPr>
            </w:pPr>
          </w:p>
        </w:tc>
        <w:tc>
          <w:tcPr>
            <w:tcW w:w="992" w:type="dxa"/>
          </w:tcPr>
          <w:p w14:paraId="49E7E921" w14:textId="77777777" w:rsidR="0048726D" w:rsidRPr="00B54DC6" w:rsidRDefault="0048726D" w:rsidP="00BD0878">
            <w:pPr>
              <w:rPr>
                <w:sz w:val="20"/>
                <w:szCs w:val="20"/>
              </w:rPr>
            </w:pPr>
          </w:p>
        </w:tc>
      </w:tr>
      <w:tr w:rsidR="0048726D" w:rsidRPr="00210285" w14:paraId="597E9C25" w14:textId="77777777" w:rsidTr="0016688F">
        <w:trPr>
          <w:trHeight w:val="249"/>
        </w:trPr>
        <w:tc>
          <w:tcPr>
            <w:tcW w:w="1129" w:type="dxa"/>
            <w:vMerge/>
            <w:shd w:val="clear" w:color="auto" w:fill="D8D8D8" w:themeFill="accent1" w:themeFillTint="33"/>
          </w:tcPr>
          <w:p w14:paraId="2BB3EBA7" w14:textId="77777777" w:rsidR="0048726D" w:rsidRDefault="0048726D" w:rsidP="00BD0878">
            <w:pPr>
              <w:rPr>
                <w:sz w:val="20"/>
                <w:szCs w:val="20"/>
              </w:rPr>
            </w:pPr>
          </w:p>
        </w:tc>
        <w:tc>
          <w:tcPr>
            <w:tcW w:w="1307" w:type="dxa"/>
            <w:vMerge/>
          </w:tcPr>
          <w:p w14:paraId="30644068" w14:textId="77777777" w:rsidR="0048726D" w:rsidRDefault="0048726D" w:rsidP="00BD0878">
            <w:pPr>
              <w:rPr>
                <w:sz w:val="20"/>
                <w:szCs w:val="20"/>
              </w:rPr>
            </w:pPr>
          </w:p>
        </w:tc>
        <w:tc>
          <w:tcPr>
            <w:tcW w:w="1387" w:type="dxa"/>
            <w:shd w:val="clear" w:color="auto" w:fill="D8D8D8" w:themeFill="accent1" w:themeFillTint="33"/>
          </w:tcPr>
          <w:p w14:paraId="1107AE5A" w14:textId="77777777" w:rsidR="0048726D" w:rsidRPr="00B54DC6" w:rsidRDefault="0048726D" w:rsidP="00BD0878">
            <w:pPr>
              <w:rPr>
                <w:sz w:val="20"/>
                <w:szCs w:val="20"/>
              </w:rPr>
            </w:pPr>
            <w:r>
              <w:rPr>
                <w:sz w:val="20"/>
                <w:szCs w:val="20"/>
              </w:rPr>
              <w:t xml:space="preserve">Name of the authority that has accredited, designated, authorised or </w:t>
            </w:r>
            <w:r>
              <w:rPr>
                <w:sz w:val="20"/>
                <w:szCs w:val="20"/>
              </w:rPr>
              <w:lastRenderedPageBreak/>
              <w:t>licensed the laboratory</w:t>
            </w:r>
          </w:p>
        </w:tc>
        <w:tc>
          <w:tcPr>
            <w:tcW w:w="1701" w:type="dxa"/>
          </w:tcPr>
          <w:p w14:paraId="6EB85AA1" w14:textId="77777777" w:rsidR="0048726D" w:rsidRPr="00B54DC6" w:rsidRDefault="0048726D" w:rsidP="00BD0878">
            <w:pPr>
              <w:rPr>
                <w:sz w:val="20"/>
                <w:szCs w:val="20"/>
              </w:rPr>
            </w:pPr>
            <w:r>
              <w:rPr>
                <w:sz w:val="20"/>
                <w:szCs w:val="20"/>
              </w:rPr>
              <w:lastRenderedPageBreak/>
              <w:t>Name of the authority</w:t>
            </w:r>
          </w:p>
        </w:tc>
        <w:tc>
          <w:tcPr>
            <w:tcW w:w="1842" w:type="dxa"/>
          </w:tcPr>
          <w:p w14:paraId="3179CB93" w14:textId="77777777" w:rsidR="0048726D" w:rsidRDefault="0048726D" w:rsidP="00BD0878">
            <w:pPr>
              <w:rPr>
                <w:sz w:val="20"/>
                <w:szCs w:val="20"/>
              </w:rPr>
            </w:pPr>
            <w:r>
              <w:rPr>
                <w:sz w:val="20"/>
                <w:szCs w:val="20"/>
              </w:rPr>
              <w:t>e.g. Name of the external accreditation body (if applicable)</w:t>
            </w:r>
          </w:p>
          <w:p w14:paraId="28838E43" w14:textId="77777777" w:rsidR="0048726D" w:rsidRPr="00B54DC6" w:rsidRDefault="0048726D" w:rsidP="00BD0878">
            <w:pPr>
              <w:rPr>
                <w:sz w:val="20"/>
                <w:szCs w:val="20"/>
              </w:rPr>
            </w:pPr>
          </w:p>
        </w:tc>
        <w:tc>
          <w:tcPr>
            <w:tcW w:w="1276" w:type="dxa"/>
          </w:tcPr>
          <w:p w14:paraId="59F55B3B" w14:textId="77777777" w:rsidR="0048726D" w:rsidRPr="00B54DC6" w:rsidRDefault="0048726D" w:rsidP="00BD0878">
            <w:pPr>
              <w:rPr>
                <w:sz w:val="20"/>
                <w:szCs w:val="20"/>
              </w:rPr>
            </w:pPr>
          </w:p>
        </w:tc>
        <w:tc>
          <w:tcPr>
            <w:tcW w:w="992" w:type="dxa"/>
          </w:tcPr>
          <w:p w14:paraId="34B9DDCC" w14:textId="77777777" w:rsidR="0048726D" w:rsidRPr="00B54DC6" w:rsidRDefault="0048726D" w:rsidP="00BD0878">
            <w:pPr>
              <w:rPr>
                <w:sz w:val="20"/>
                <w:szCs w:val="20"/>
              </w:rPr>
            </w:pPr>
          </w:p>
        </w:tc>
      </w:tr>
      <w:tr w:rsidR="0048726D" w14:paraId="78D6E20E" w14:textId="77777777" w:rsidTr="0016688F">
        <w:trPr>
          <w:trHeight w:val="471"/>
        </w:trPr>
        <w:tc>
          <w:tcPr>
            <w:tcW w:w="1129" w:type="dxa"/>
            <w:vMerge w:val="restart"/>
            <w:shd w:val="clear" w:color="auto" w:fill="D8D8D8" w:themeFill="accent1" w:themeFillTint="33"/>
          </w:tcPr>
          <w:p w14:paraId="69392AC1" w14:textId="77777777" w:rsidR="0048726D" w:rsidRPr="00B54DC6" w:rsidRDefault="0048726D" w:rsidP="00BD0878">
            <w:pPr>
              <w:rPr>
                <w:sz w:val="20"/>
                <w:szCs w:val="20"/>
              </w:rPr>
            </w:pPr>
            <w:r>
              <w:rPr>
                <w:sz w:val="20"/>
                <w:szCs w:val="20"/>
              </w:rPr>
              <w:t>BTC g</w:t>
            </w:r>
            <w:r w:rsidRPr="00B54DC6">
              <w:rPr>
                <w:sz w:val="20"/>
                <w:szCs w:val="20"/>
              </w:rPr>
              <w:t>raft</w:t>
            </w:r>
          </w:p>
          <w:p w14:paraId="512A1CDB" w14:textId="77777777" w:rsidR="0048726D" w:rsidRPr="00B54DC6" w:rsidRDefault="0048726D" w:rsidP="00BD0878">
            <w:pPr>
              <w:rPr>
                <w:sz w:val="20"/>
                <w:szCs w:val="20"/>
              </w:rPr>
            </w:pPr>
            <w:r>
              <w:rPr>
                <w:sz w:val="20"/>
                <w:szCs w:val="20"/>
              </w:rPr>
              <w:t>microbiological</w:t>
            </w:r>
            <w:r w:rsidRPr="00B54DC6">
              <w:rPr>
                <w:sz w:val="20"/>
                <w:szCs w:val="20"/>
              </w:rPr>
              <w:t xml:space="preserve"> testing</w:t>
            </w:r>
            <w:r>
              <w:rPr>
                <w:sz w:val="20"/>
                <w:szCs w:val="20"/>
              </w:rPr>
              <w:t xml:space="preserve"> laboratory</w:t>
            </w:r>
          </w:p>
          <w:p w14:paraId="57A1E93B" w14:textId="77777777" w:rsidR="0048726D" w:rsidRPr="00B54DC6" w:rsidRDefault="0048726D" w:rsidP="00BD0878">
            <w:pPr>
              <w:rPr>
                <w:sz w:val="20"/>
                <w:szCs w:val="20"/>
              </w:rPr>
            </w:pPr>
          </w:p>
        </w:tc>
        <w:tc>
          <w:tcPr>
            <w:tcW w:w="1307" w:type="dxa"/>
            <w:shd w:val="clear" w:color="auto" w:fill="D8D8D8" w:themeFill="accent1" w:themeFillTint="33"/>
          </w:tcPr>
          <w:p w14:paraId="797D56F2" w14:textId="77777777" w:rsidR="0048726D" w:rsidRDefault="0048726D" w:rsidP="00BD0878">
            <w:pPr>
              <w:rPr>
                <w:sz w:val="20"/>
                <w:szCs w:val="20"/>
              </w:rPr>
            </w:pPr>
            <w:r>
              <w:rPr>
                <w:sz w:val="20"/>
                <w:szCs w:val="20"/>
              </w:rPr>
              <w:t>Laboratory</w:t>
            </w:r>
          </w:p>
          <w:p w14:paraId="587D6BF0" w14:textId="77777777" w:rsidR="0048726D" w:rsidRDefault="0048726D" w:rsidP="00BD0878">
            <w:pPr>
              <w:rPr>
                <w:sz w:val="20"/>
                <w:szCs w:val="20"/>
              </w:rPr>
            </w:pPr>
          </w:p>
        </w:tc>
        <w:tc>
          <w:tcPr>
            <w:tcW w:w="1387" w:type="dxa"/>
            <w:vMerge w:val="restart"/>
            <w:shd w:val="clear" w:color="auto" w:fill="D8D8D8" w:themeFill="accent1" w:themeFillTint="33"/>
          </w:tcPr>
          <w:p w14:paraId="5EA2B0ED" w14:textId="77777777" w:rsidR="0048726D" w:rsidRDefault="0048726D" w:rsidP="00BD0878">
            <w:pPr>
              <w:rPr>
                <w:sz w:val="20"/>
                <w:szCs w:val="20"/>
              </w:rPr>
            </w:pPr>
            <w:r>
              <w:rPr>
                <w:sz w:val="20"/>
                <w:szCs w:val="20"/>
              </w:rPr>
              <w:t>Quality system(s) of the laboratory</w:t>
            </w:r>
          </w:p>
          <w:p w14:paraId="226A4CAA" w14:textId="77777777" w:rsidR="0048726D" w:rsidRDefault="0048726D" w:rsidP="00BD0878">
            <w:pPr>
              <w:rPr>
                <w:sz w:val="20"/>
                <w:szCs w:val="20"/>
              </w:rPr>
            </w:pPr>
          </w:p>
          <w:p w14:paraId="630BE40E" w14:textId="77777777" w:rsidR="0048726D" w:rsidRPr="00B54DC6" w:rsidRDefault="0048726D" w:rsidP="00BD0878">
            <w:pPr>
              <w:rPr>
                <w:sz w:val="20"/>
                <w:szCs w:val="20"/>
              </w:rPr>
            </w:pPr>
          </w:p>
        </w:tc>
        <w:tc>
          <w:tcPr>
            <w:tcW w:w="1701" w:type="dxa"/>
            <w:vMerge w:val="restart"/>
          </w:tcPr>
          <w:p w14:paraId="5A38E62B" w14:textId="77777777" w:rsidR="0048726D" w:rsidRPr="00B54DC6" w:rsidRDefault="0048726D" w:rsidP="00BD0878">
            <w:pPr>
              <w:rPr>
                <w:sz w:val="20"/>
                <w:szCs w:val="20"/>
              </w:rPr>
            </w:pPr>
            <w:r>
              <w:rPr>
                <w:sz w:val="20"/>
                <w:szCs w:val="20"/>
              </w:rPr>
              <w:t>2004/23/EC</w:t>
            </w:r>
          </w:p>
        </w:tc>
        <w:tc>
          <w:tcPr>
            <w:tcW w:w="1842" w:type="dxa"/>
            <w:vMerge w:val="restart"/>
          </w:tcPr>
          <w:p w14:paraId="53E2EDD7" w14:textId="77777777" w:rsidR="0048726D" w:rsidRPr="00B54DC6" w:rsidRDefault="0048726D" w:rsidP="00BD0878">
            <w:pPr>
              <w:rPr>
                <w:sz w:val="20"/>
                <w:szCs w:val="20"/>
              </w:rPr>
            </w:pPr>
          </w:p>
        </w:tc>
        <w:tc>
          <w:tcPr>
            <w:tcW w:w="1276" w:type="dxa"/>
            <w:vMerge w:val="restart"/>
          </w:tcPr>
          <w:p w14:paraId="43CB325D" w14:textId="77777777" w:rsidR="0048726D" w:rsidRPr="00B54DC6" w:rsidRDefault="0048726D" w:rsidP="00BD0878">
            <w:pPr>
              <w:rPr>
                <w:sz w:val="20"/>
                <w:szCs w:val="20"/>
              </w:rPr>
            </w:pPr>
          </w:p>
        </w:tc>
        <w:tc>
          <w:tcPr>
            <w:tcW w:w="992" w:type="dxa"/>
            <w:vMerge w:val="restart"/>
          </w:tcPr>
          <w:p w14:paraId="6557EAC8" w14:textId="77777777" w:rsidR="0048726D" w:rsidRPr="00B54DC6" w:rsidRDefault="0048726D" w:rsidP="00BD0878">
            <w:pPr>
              <w:rPr>
                <w:sz w:val="20"/>
                <w:szCs w:val="20"/>
              </w:rPr>
            </w:pPr>
          </w:p>
        </w:tc>
      </w:tr>
      <w:tr w:rsidR="0048726D" w14:paraId="29A81A10" w14:textId="77777777" w:rsidTr="0016688F">
        <w:trPr>
          <w:trHeight w:val="471"/>
        </w:trPr>
        <w:tc>
          <w:tcPr>
            <w:tcW w:w="1129" w:type="dxa"/>
            <w:vMerge/>
            <w:shd w:val="clear" w:color="auto" w:fill="D8D8D8" w:themeFill="accent1" w:themeFillTint="33"/>
          </w:tcPr>
          <w:p w14:paraId="66AB2666" w14:textId="77777777" w:rsidR="0048726D" w:rsidRDefault="0048726D" w:rsidP="00BD0878">
            <w:pPr>
              <w:rPr>
                <w:sz w:val="20"/>
                <w:szCs w:val="20"/>
              </w:rPr>
            </w:pPr>
          </w:p>
        </w:tc>
        <w:tc>
          <w:tcPr>
            <w:tcW w:w="1307" w:type="dxa"/>
            <w:vMerge w:val="restart"/>
          </w:tcPr>
          <w:p w14:paraId="4EED05DF" w14:textId="77777777" w:rsidR="0048726D" w:rsidRDefault="0048726D" w:rsidP="00BD0878">
            <w:pPr>
              <w:rPr>
                <w:sz w:val="20"/>
                <w:szCs w:val="20"/>
              </w:rPr>
            </w:pPr>
            <w:r w:rsidRPr="00EA4240">
              <w:rPr>
                <w:sz w:val="20"/>
                <w:szCs w:val="20"/>
              </w:rPr>
              <w:t>Name of the laboratory</w:t>
            </w:r>
          </w:p>
        </w:tc>
        <w:tc>
          <w:tcPr>
            <w:tcW w:w="1387" w:type="dxa"/>
            <w:vMerge/>
            <w:shd w:val="clear" w:color="auto" w:fill="D8D8D8" w:themeFill="accent1" w:themeFillTint="33"/>
          </w:tcPr>
          <w:p w14:paraId="76072EA6" w14:textId="77777777" w:rsidR="0048726D" w:rsidRDefault="0048726D" w:rsidP="00BD0878">
            <w:pPr>
              <w:rPr>
                <w:sz w:val="20"/>
                <w:szCs w:val="20"/>
              </w:rPr>
            </w:pPr>
          </w:p>
        </w:tc>
        <w:tc>
          <w:tcPr>
            <w:tcW w:w="1701" w:type="dxa"/>
            <w:vMerge/>
          </w:tcPr>
          <w:p w14:paraId="0C959310" w14:textId="77777777" w:rsidR="0048726D" w:rsidRDefault="0048726D" w:rsidP="00BD0878">
            <w:pPr>
              <w:rPr>
                <w:sz w:val="20"/>
                <w:szCs w:val="20"/>
              </w:rPr>
            </w:pPr>
          </w:p>
        </w:tc>
        <w:tc>
          <w:tcPr>
            <w:tcW w:w="1842" w:type="dxa"/>
            <w:vMerge/>
          </w:tcPr>
          <w:p w14:paraId="613790EC" w14:textId="77777777" w:rsidR="0048726D" w:rsidRPr="00B54DC6" w:rsidRDefault="0048726D" w:rsidP="00BD0878">
            <w:pPr>
              <w:rPr>
                <w:sz w:val="20"/>
                <w:szCs w:val="20"/>
              </w:rPr>
            </w:pPr>
          </w:p>
        </w:tc>
        <w:tc>
          <w:tcPr>
            <w:tcW w:w="1276" w:type="dxa"/>
            <w:vMerge/>
          </w:tcPr>
          <w:p w14:paraId="2BBF8BD9" w14:textId="77777777" w:rsidR="0048726D" w:rsidRPr="00B54DC6" w:rsidRDefault="0048726D" w:rsidP="00BD0878">
            <w:pPr>
              <w:rPr>
                <w:sz w:val="20"/>
                <w:szCs w:val="20"/>
              </w:rPr>
            </w:pPr>
          </w:p>
        </w:tc>
        <w:tc>
          <w:tcPr>
            <w:tcW w:w="992" w:type="dxa"/>
            <w:vMerge/>
          </w:tcPr>
          <w:p w14:paraId="6E64BCB3" w14:textId="77777777" w:rsidR="0048726D" w:rsidRPr="00B54DC6" w:rsidRDefault="0048726D" w:rsidP="00BD0878">
            <w:pPr>
              <w:rPr>
                <w:sz w:val="20"/>
                <w:szCs w:val="20"/>
              </w:rPr>
            </w:pPr>
          </w:p>
        </w:tc>
      </w:tr>
      <w:tr w:rsidR="0048726D" w14:paraId="4CF4B4B6" w14:textId="77777777" w:rsidTr="0016688F">
        <w:trPr>
          <w:trHeight w:val="249"/>
        </w:trPr>
        <w:tc>
          <w:tcPr>
            <w:tcW w:w="1129" w:type="dxa"/>
            <w:vMerge/>
            <w:shd w:val="clear" w:color="auto" w:fill="D8D8D8" w:themeFill="accent1" w:themeFillTint="33"/>
          </w:tcPr>
          <w:p w14:paraId="30FC952E" w14:textId="77777777" w:rsidR="0048726D" w:rsidRDefault="0048726D" w:rsidP="00BD0878">
            <w:pPr>
              <w:rPr>
                <w:sz w:val="20"/>
                <w:szCs w:val="20"/>
              </w:rPr>
            </w:pPr>
          </w:p>
        </w:tc>
        <w:tc>
          <w:tcPr>
            <w:tcW w:w="1307" w:type="dxa"/>
            <w:vMerge/>
          </w:tcPr>
          <w:p w14:paraId="64F3D67B" w14:textId="77777777" w:rsidR="0048726D" w:rsidRDefault="0048726D" w:rsidP="00BD0878">
            <w:pPr>
              <w:rPr>
                <w:sz w:val="20"/>
                <w:szCs w:val="20"/>
              </w:rPr>
            </w:pPr>
          </w:p>
        </w:tc>
        <w:tc>
          <w:tcPr>
            <w:tcW w:w="1387" w:type="dxa"/>
            <w:shd w:val="clear" w:color="auto" w:fill="D8D8D8" w:themeFill="accent1" w:themeFillTint="33"/>
          </w:tcPr>
          <w:p w14:paraId="7978258A" w14:textId="77777777" w:rsidR="0048726D" w:rsidRDefault="0048726D" w:rsidP="00BD0878">
            <w:pPr>
              <w:rPr>
                <w:sz w:val="20"/>
                <w:szCs w:val="20"/>
              </w:rPr>
            </w:pPr>
            <w:r>
              <w:rPr>
                <w:sz w:val="20"/>
                <w:szCs w:val="20"/>
              </w:rPr>
              <w:t>Standard that laboratory follows</w:t>
            </w:r>
          </w:p>
          <w:p w14:paraId="11451ED0" w14:textId="77777777" w:rsidR="0048726D" w:rsidRDefault="0048726D" w:rsidP="00BD0878">
            <w:pPr>
              <w:rPr>
                <w:sz w:val="20"/>
                <w:szCs w:val="20"/>
              </w:rPr>
            </w:pPr>
          </w:p>
          <w:p w14:paraId="23BBD8D2" w14:textId="77777777" w:rsidR="0048726D" w:rsidRPr="00B54DC6" w:rsidRDefault="0048726D" w:rsidP="00BD0878">
            <w:pPr>
              <w:rPr>
                <w:sz w:val="20"/>
                <w:szCs w:val="20"/>
              </w:rPr>
            </w:pPr>
          </w:p>
        </w:tc>
        <w:tc>
          <w:tcPr>
            <w:tcW w:w="1701" w:type="dxa"/>
          </w:tcPr>
          <w:p w14:paraId="7879C029" w14:textId="77777777" w:rsidR="0048726D" w:rsidRPr="00B54DC6" w:rsidRDefault="0048726D" w:rsidP="00BD0878">
            <w:pPr>
              <w:rPr>
                <w:sz w:val="20"/>
                <w:szCs w:val="20"/>
              </w:rPr>
            </w:pPr>
            <w:r>
              <w:rPr>
                <w:sz w:val="20"/>
                <w:szCs w:val="20"/>
              </w:rPr>
              <w:t>T&amp;C Directives</w:t>
            </w:r>
          </w:p>
        </w:tc>
        <w:tc>
          <w:tcPr>
            <w:tcW w:w="1842" w:type="dxa"/>
          </w:tcPr>
          <w:p w14:paraId="71CDD6DC" w14:textId="77777777" w:rsidR="0048726D" w:rsidRDefault="0048726D" w:rsidP="00BD0878">
            <w:pPr>
              <w:rPr>
                <w:sz w:val="20"/>
                <w:szCs w:val="20"/>
              </w:rPr>
            </w:pPr>
            <w:r>
              <w:rPr>
                <w:sz w:val="20"/>
                <w:szCs w:val="20"/>
              </w:rPr>
              <w:t xml:space="preserve">e.g. </w:t>
            </w:r>
          </w:p>
          <w:p w14:paraId="00B89A68" w14:textId="77777777" w:rsidR="0048726D" w:rsidRDefault="0048726D" w:rsidP="00BD0878">
            <w:pPr>
              <w:rPr>
                <w:sz w:val="20"/>
                <w:szCs w:val="20"/>
              </w:rPr>
            </w:pPr>
            <w:r>
              <w:rPr>
                <w:sz w:val="20"/>
                <w:szCs w:val="20"/>
              </w:rPr>
              <w:t>Good Practice Guideline/EDQM, ISO15189,</w:t>
            </w:r>
          </w:p>
          <w:p w14:paraId="45082B39" w14:textId="77777777" w:rsidR="0048726D" w:rsidRPr="00B54DC6" w:rsidRDefault="0048726D" w:rsidP="00BD0878">
            <w:pPr>
              <w:rPr>
                <w:sz w:val="20"/>
                <w:szCs w:val="20"/>
              </w:rPr>
            </w:pPr>
            <w:r>
              <w:rPr>
                <w:sz w:val="20"/>
                <w:szCs w:val="20"/>
              </w:rPr>
              <w:t>ISO17025</w:t>
            </w:r>
          </w:p>
        </w:tc>
        <w:tc>
          <w:tcPr>
            <w:tcW w:w="1276" w:type="dxa"/>
          </w:tcPr>
          <w:p w14:paraId="656F0053" w14:textId="77777777" w:rsidR="0048726D" w:rsidRPr="00B54DC6" w:rsidRDefault="0048726D" w:rsidP="00BD0878">
            <w:pPr>
              <w:rPr>
                <w:sz w:val="20"/>
                <w:szCs w:val="20"/>
              </w:rPr>
            </w:pPr>
          </w:p>
        </w:tc>
        <w:tc>
          <w:tcPr>
            <w:tcW w:w="992" w:type="dxa"/>
          </w:tcPr>
          <w:p w14:paraId="6E6C548E" w14:textId="77777777" w:rsidR="0048726D" w:rsidRPr="00B54DC6" w:rsidRDefault="0048726D" w:rsidP="00BD0878">
            <w:pPr>
              <w:rPr>
                <w:sz w:val="20"/>
                <w:szCs w:val="20"/>
              </w:rPr>
            </w:pPr>
          </w:p>
        </w:tc>
      </w:tr>
      <w:tr w:rsidR="0048726D" w14:paraId="21BEA9AF" w14:textId="77777777" w:rsidTr="0016688F">
        <w:trPr>
          <w:trHeight w:val="1953"/>
        </w:trPr>
        <w:tc>
          <w:tcPr>
            <w:tcW w:w="1129" w:type="dxa"/>
            <w:vMerge/>
            <w:shd w:val="clear" w:color="auto" w:fill="D8D8D8" w:themeFill="accent1" w:themeFillTint="33"/>
          </w:tcPr>
          <w:p w14:paraId="62C57DF6" w14:textId="77777777" w:rsidR="0048726D" w:rsidRDefault="0048726D" w:rsidP="00BD0878">
            <w:pPr>
              <w:rPr>
                <w:sz w:val="20"/>
                <w:szCs w:val="20"/>
              </w:rPr>
            </w:pPr>
          </w:p>
        </w:tc>
        <w:tc>
          <w:tcPr>
            <w:tcW w:w="1307" w:type="dxa"/>
            <w:vMerge/>
          </w:tcPr>
          <w:p w14:paraId="4D7E2A05" w14:textId="77777777" w:rsidR="0048726D" w:rsidRDefault="0048726D" w:rsidP="00BD0878">
            <w:pPr>
              <w:rPr>
                <w:sz w:val="20"/>
                <w:szCs w:val="20"/>
              </w:rPr>
            </w:pPr>
          </w:p>
        </w:tc>
        <w:tc>
          <w:tcPr>
            <w:tcW w:w="1387" w:type="dxa"/>
            <w:shd w:val="clear" w:color="auto" w:fill="D8D8D8" w:themeFill="accent1" w:themeFillTint="33"/>
          </w:tcPr>
          <w:p w14:paraId="7C1EF1FB" w14:textId="77777777" w:rsidR="0048726D" w:rsidRPr="00B54DC6" w:rsidRDefault="0048726D" w:rsidP="00BD0878">
            <w:pPr>
              <w:rPr>
                <w:sz w:val="20"/>
                <w:szCs w:val="20"/>
              </w:rPr>
            </w:pPr>
            <w:r>
              <w:rPr>
                <w:sz w:val="20"/>
                <w:szCs w:val="20"/>
              </w:rPr>
              <w:t>Name of the authority that has accredited, designated, authorised or licensed the laboratory</w:t>
            </w:r>
          </w:p>
        </w:tc>
        <w:tc>
          <w:tcPr>
            <w:tcW w:w="1701" w:type="dxa"/>
          </w:tcPr>
          <w:p w14:paraId="4A36272A" w14:textId="77777777" w:rsidR="0048726D" w:rsidRPr="00B54DC6" w:rsidRDefault="0048726D" w:rsidP="00BD0878">
            <w:pPr>
              <w:rPr>
                <w:sz w:val="20"/>
                <w:szCs w:val="20"/>
              </w:rPr>
            </w:pPr>
            <w:r>
              <w:rPr>
                <w:sz w:val="20"/>
                <w:szCs w:val="20"/>
              </w:rPr>
              <w:t>Name of the authority</w:t>
            </w:r>
          </w:p>
        </w:tc>
        <w:tc>
          <w:tcPr>
            <w:tcW w:w="1842" w:type="dxa"/>
          </w:tcPr>
          <w:p w14:paraId="1A894F33" w14:textId="77777777" w:rsidR="0048726D" w:rsidRDefault="0048726D" w:rsidP="00BD0878">
            <w:pPr>
              <w:rPr>
                <w:sz w:val="20"/>
                <w:szCs w:val="20"/>
              </w:rPr>
            </w:pPr>
            <w:r>
              <w:rPr>
                <w:sz w:val="20"/>
                <w:szCs w:val="20"/>
              </w:rPr>
              <w:t>e.g. Name of the external accreditation body (if applicable)</w:t>
            </w:r>
          </w:p>
          <w:p w14:paraId="20B0224F" w14:textId="77777777" w:rsidR="0048726D" w:rsidRPr="00B54DC6" w:rsidRDefault="0048726D" w:rsidP="00BD0878">
            <w:pPr>
              <w:rPr>
                <w:sz w:val="20"/>
                <w:szCs w:val="20"/>
              </w:rPr>
            </w:pPr>
          </w:p>
        </w:tc>
        <w:tc>
          <w:tcPr>
            <w:tcW w:w="1276" w:type="dxa"/>
          </w:tcPr>
          <w:p w14:paraId="2020EED1" w14:textId="77777777" w:rsidR="0048726D" w:rsidRPr="00B54DC6" w:rsidRDefault="0048726D" w:rsidP="00BD0878">
            <w:pPr>
              <w:rPr>
                <w:sz w:val="20"/>
                <w:szCs w:val="20"/>
              </w:rPr>
            </w:pPr>
          </w:p>
        </w:tc>
        <w:tc>
          <w:tcPr>
            <w:tcW w:w="992" w:type="dxa"/>
          </w:tcPr>
          <w:p w14:paraId="2A7691A8" w14:textId="77777777" w:rsidR="0048726D" w:rsidRPr="00B54DC6" w:rsidRDefault="0048726D" w:rsidP="00BD0878">
            <w:pPr>
              <w:rPr>
                <w:sz w:val="20"/>
                <w:szCs w:val="20"/>
              </w:rPr>
            </w:pPr>
          </w:p>
        </w:tc>
      </w:tr>
    </w:tbl>
    <w:p w14:paraId="697A4B02" w14:textId="58B4F2B2" w:rsidR="006B351E" w:rsidRDefault="006B351E" w:rsidP="006B351E">
      <w:bookmarkStart w:id="13" w:name="_Toc41427152"/>
    </w:p>
    <w:p w14:paraId="30CF7FDD" w14:textId="2130A439" w:rsidR="006B351E" w:rsidRDefault="006B351E" w:rsidP="006B351E"/>
    <w:p w14:paraId="6218D0D5" w14:textId="77777777" w:rsidR="009E2613" w:rsidRPr="006B351E" w:rsidRDefault="009E2613" w:rsidP="006B351E"/>
    <w:p w14:paraId="20DDA6A1" w14:textId="55C31A30" w:rsidR="003725A5" w:rsidRPr="003A3325" w:rsidRDefault="003725A5" w:rsidP="009A297D">
      <w:pPr>
        <w:pStyle w:val="Heading1"/>
        <w:numPr>
          <w:ilvl w:val="0"/>
          <w:numId w:val="13"/>
        </w:numPr>
        <w:jc w:val="both"/>
      </w:pPr>
      <w:r w:rsidRPr="003A3325">
        <w:t xml:space="preserve">Requirements </w:t>
      </w:r>
      <w:r w:rsidR="00760A81" w:rsidRPr="003A3325">
        <w:t xml:space="preserve">for selection, validation and </w:t>
      </w:r>
      <w:r w:rsidR="00961004" w:rsidRPr="003A3325">
        <w:t>performance of donor</w:t>
      </w:r>
      <w:r w:rsidRPr="003A3325">
        <w:t xml:space="preserve"> </w:t>
      </w:r>
      <w:r w:rsidR="00961004" w:rsidRPr="003A3325">
        <w:t>infectious disease marker test</w:t>
      </w:r>
      <w:r w:rsidR="00DE6C5F" w:rsidRPr="003A3325">
        <w:t>ing kits</w:t>
      </w:r>
      <w:r w:rsidRPr="003A3325">
        <w:t xml:space="preserve"> and other methods</w:t>
      </w:r>
      <w:bookmarkEnd w:id="13"/>
    </w:p>
    <w:p w14:paraId="5B48BF73" w14:textId="77777777" w:rsidR="00506963" w:rsidRDefault="00506963" w:rsidP="00961004">
      <w:pPr>
        <w:jc w:val="both"/>
        <w:rPr>
          <w:rFonts w:cstheme="minorHAnsi"/>
          <w:sz w:val="24"/>
          <w:szCs w:val="24"/>
        </w:rPr>
      </w:pPr>
    </w:p>
    <w:p w14:paraId="4DC0D8BB" w14:textId="46F90BDC" w:rsidR="00961004" w:rsidRPr="00FE6DB7" w:rsidRDefault="00961004" w:rsidP="00961004">
      <w:pPr>
        <w:jc w:val="both"/>
        <w:rPr>
          <w:rFonts w:cstheme="minorHAnsi"/>
          <w:sz w:val="24"/>
          <w:szCs w:val="24"/>
        </w:rPr>
      </w:pPr>
      <w:r w:rsidRPr="00FE6DB7">
        <w:rPr>
          <w:rFonts w:cstheme="minorHAnsi"/>
          <w:sz w:val="24"/>
          <w:szCs w:val="24"/>
        </w:rPr>
        <w:t>Blood transfusion as well as tissues and cells transplantation and reproductive cell transfer may result in transmission of infectious diseases.</w:t>
      </w:r>
      <w:r w:rsidRPr="00FE6DB7">
        <w:rPr>
          <w:rFonts w:cstheme="minorHAnsi"/>
          <w:color w:val="FF0000"/>
          <w:sz w:val="24"/>
          <w:szCs w:val="24"/>
        </w:rPr>
        <w:t xml:space="preserve"> </w:t>
      </w:r>
      <w:r w:rsidRPr="00FE6DB7">
        <w:rPr>
          <w:rFonts w:cstheme="minorHAnsi"/>
          <w:sz w:val="24"/>
          <w:szCs w:val="24"/>
        </w:rPr>
        <w:t>In order to prevent the transmission of infectious diseases and to ensure an equival</w:t>
      </w:r>
      <w:r w:rsidR="00760A81">
        <w:rPr>
          <w:rFonts w:cstheme="minorHAnsi"/>
          <w:sz w:val="24"/>
          <w:szCs w:val="24"/>
        </w:rPr>
        <w:t>ent level of quality and safety, e</w:t>
      </w:r>
      <w:r w:rsidRPr="00FE6DB7">
        <w:rPr>
          <w:rFonts w:cstheme="minorHAnsi"/>
          <w:sz w:val="24"/>
          <w:szCs w:val="24"/>
        </w:rPr>
        <w:t>ach donor and donation should be tested in conformity with the requirements laid down in European Commission Blood, Tissue and cell Directives (ECBTCDs) (2002/98/EC, 2005/62/EC &amp; 2006/17/EC).</w:t>
      </w:r>
    </w:p>
    <w:p w14:paraId="7A474BEE" w14:textId="77777777" w:rsidR="00961004" w:rsidRPr="00FE6DB7" w:rsidRDefault="00961004" w:rsidP="00961004">
      <w:pPr>
        <w:jc w:val="both"/>
        <w:rPr>
          <w:rFonts w:cstheme="minorHAnsi"/>
          <w:sz w:val="24"/>
          <w:szCs w:val="24"/>
        </w:rPr>
      </w:pPr>
      <w:r w:rsidRPr="00FE6DB7">
        <w:rPr>
          <w:rFonts w:cstheme="minorHAnsi"/>
          <w:sz w:val="24"/>
          <w:szCs w:val="24"/>
        </w:rPr>
        <w:t>As a minimum requirement, all donors must be tested for HIV, Hepatitis B and Hepatitis C (as summarised in Table I). In addition to the minimum requirements, testing of donors/donations for other agents or markers may be required for specific blood components, tissues or cells, donors or epidemiological situations in any given region or country (2002/98/EC, EDQM T&amp;C 2019 &amp; 2006/17/EC).</w:t>
      </w:r>
      <w:r w:rsidRPr="00FE6DB7">
        <w:rPr>
          <w:rFonts w:cstheme="minorHAnsi"/>
          <w:color w:val="FF0000"/>
          <w:sz w:val="24"/>
          <w:szCs w:val="24"/>
        </w:rPr>
        <w:t xml:space="preserve"> </w:t>
      </w:r>
      <w:r w:rsidRPr="00FE6DB7">
        <w:rPr>
          <w:rFonts w:cstheme="minorHAnsi"/>
          <w:sz w:val="24"/>
          <w:szCs w:val="24"/>
        </w:rPr>
        <w:t>Furthermore, these additional requirements may vary between the EU Member states based on the national legislation.</w:t>
      </w:r>
    </w:p>
    <w:p w14:paraId="5DF6C093" w14:textId="77777777" w:rsidR="009E2613" w:rsidRDefault="009E2613" w:rsidP="00961004">
      <w:pPr>
        <w:jc w:val="both"/>
        <w:rPr>
          <w:rFonts w:cstheme="minorHAnsi"/>
          <w:b/>
          <w:sz w:val="24"/>
          <w:szCs w:val="24"/>
        </w:rPr>
      </w:pPr>
    </w:p>
    <w:p w14:paraId="1C38ED0A" w14:textId="2F940E56" w:rsidR="00961004" w:rsidRPr="00FE6DB7" w:rsidRDefault="00961004" w:rsidP="00961004">
      <w:pPr>
        <w:jc w:val="both"/>
        <w:rPr>
          <w:rFonts w:cstheme="minorHAnsi"/>
          <w:sz w:val="24"/>
          <w:szCs w:val="24"/>
        </w:rPr>
      </w:pPr>
      <w:r w:rsidRPr="00CA2E5F">
        <w:rPr>
          <w:rFonts w:cstheme="minorHAnsi"/>
          <w:b/>
          <w:sz w:val="24"/>
          <w:szCs w:val="24"/>
        </w:rPr>
        <w:lastRenderedPageBreak/>
        <w:t>Table I.</w:t>
      </w:r>
      <w:r w:rsidRPr="00FE6DB7">
        <w:rPr>
          <w:rFonts w:cstheme="minorHAnsi"/>
          <w:sz w:val="24"/>
          <w:szCs w:val="24"/>
        </w:rPr>
        <w:t xml:space="preserve"> Summary of tests required for </w:t>
      </w:r>
      <w:r w:rsidR="0016089E">
        <w:rPr>
          <w:rFonts w:cstheme="minorHAnsi"/>
          <w:sz w:val="24"/>
          <w:szCs w:val="24"/>
        </w:rPr>
        <w:t xml:space="preserve">BTC </w:t>
      </w:r>
      <w:r w:rsidRPr="00FE6DB7">
        <w:rPr>
          <w:rFonts w:cstheme="minorHAnsi"/>
          <w:sz w:val="24"/>
          <w:szCs w:val="24"/>
        </w:rPr>
        <w:t>donors/donations</w:t>
      </w:r>
      <w:r w:rsidR="00FB6C72">
        <w:rPr>
          <w:rFonts w:cstheme="minorHAnsi"/>
          <w:sz w:val="24"/>
          <w:szCs w:val="24"/>
        </w:rPr>
        <w:t>.</w:t>
      </w:r>
    </w:p>
    <w:tbl>
      <w:tblPr>
        <w:tblStyle w:val="TableGrid"/>
        <w:tblW w:w="0" w:type="auto"/>
        <w:tblLook w:val="04A0" w:firstRow="1" w:lastRow="0" w:firstColumn="1" w:lastColumn="0" w:noHBand="0" w:noVBand="1"/>
      </w:tblPr>
      <w:tblGrid>
        <w:gridCol w:w="1838"/>
        <w:gridCol w:w="2835"/>
        <w:gridCol w:w="1701"/>
        <w:gridCol w:w="2642"/>
      </w:tblGrid>
      <w:tr w:rsidR="00961004" w:rsidRPr="0016089E" w14:paraId="7F2AE22C" w14:textId="77777777" w:rsidTr="003D3232">
        <w:tc>
          <w:tcPr>
            <w:tcW w:w="1838" w:type="dxa"/>
          </w:tcPr>
          <w:p w14:paraId="4EEA4A9C" w14:textId="77777777" w:rsidR="00961004" w:rsidRPr="0016089E" w:rsidRDefault="00961004" w:rsidP="00961004">
            <w:pPr>
              <w:jc w:val="both"/>
              <w:rPr>
                <w:rFonts w:cstheme="minorHAnsi"/>
                <w:b/>
                <w:sz w:val="24"/>
                <w:szCs w:val="24"/>
              </w:rPr>
            </w:pPr>
          </w:p>
        </w:tc>
        <w:tc>
          <w:tcPr>
            <w:tcW w:w="2835" w:type="dxa"/>
          </w:tcPr>
          <w:p w14:paraId="0D3D226F" w14:textId="77777777" w:rsidR="00961004" w:rsidRPr="0016089E" w:rsidRDefault="00961004" w:rsidP="00961004">
            <w:pPr>
              <w:jc w:val="both"/>
              <w:rPr>
                <w:rFonts w:cstheme="minorHAnsi"/>
                <w:b/>
                <w:sz w:val="24"/>
                <w:szCs w:val="24"/>
              </w:rPr>
            </w:pPr>
            <w:r w:rsidRPr="0016089E">
              <w:rPr>
                <w:rFonts w:cstheme="minorHAnsi"/>
                <w:b/>
                <w:sz w:val="24"/>
                <w:szCs w:val="24"/>
              </w:rPr>
              <w:t>Mandatory tests</w:t>
            </w:r>
          </w:p>
        </w:tc>
        <w:tc>
          <w:tcPr>
            <w:tcW w:w="1701" w:type="dxa"/>
          </w:tcPr>
          <w:p w14:paraId="7D5EB50B" w14:textId="77777777" w:rsidR="00961004" w:rsidRPr="0016089E" w:rsidRDefault="00961004" w:rsidP="00961004">
            <w:pPr>
              <w:jc w:val="both"/>
              <w:rPr>
                <w:rFonts w:cstheme="minorHAnsi"/>
                <w:b/>
                <w:sz w:val="24"/>
                <w:szCs w:val="24"/>
              </w:rPr>
            </w:pPr>
            <w:r w:rsidRPr="0016089E">
              <w:rPr>
                <w:rFonts w:cstheme="minorHAnsi"/>
                <w:b/>
                <w:sz w:val="24"/>
                <w:szCs w:val="24"/>
              </w:rPr>
              <w:t>Directive</w:t>
            </w:r>
          </w:p>
        </w:tc>
        <w:tc>
          <w:tcPr>
            <w:tcW w:w="2642" w:type="dxa"/>
          </w:tcPr>
          <w:p w14:paraId="35545418" w14:textId="1922D843" w:rsidR="00961004" w:rsidRPr="0016089E" w:rsidRDefault="00961004" w:rsidP="00DE6C5F">
            <w:pPr>
              <w:jc w:val="both"/>
              <w:rPr>
                <w:rFonts w:cstheme="minorHAnsi"/>
                <w:b/>
                <w:color w:val="FF0000"/>
                <w:sz w:val="24"/>
                <w:szCs w:val="24"/>
              </w:rPr>
            </w:pPr>
            <w:r w:rsidRPr="0016089E">
              <w:rPr>
                <w:rFonts w:cstheme="minorHAnsi"/>
                <w:b/>
                <w:sz w:val="24"/>
                <w:szCs w:val="24"/>
              </w:rPr>
              <w:t>Additional/</w:t>
            </w:r>
            <w:r w:rsidR="00DE6C5F" w:rsidRPr="0016089E">
              <w:rPr>
                <w:rFonts w:cstheme="minorHAnsi"/>
                <w:b/>
                <w:sz w:val="24"/>
                <w:szCs w:val="24"/>
              </w:rPr>
              <w:t>national</w:t>
            </w:r>
            <w:r w:rsidRPr="0016089E">
              <w:rPr>
                <w:rFonts w:cstheme="minorHAnsi"/>
                <w:b/>
                <w:sz w:val="24"/>
                <w:szCs w:val="24"/>
              </w:rPr>
              <w:t xml:space="preserve"> tests</w:t>
            </w:r>
          </w:p>
        </w:tc>
      </w:tr>
      <w:tr w:rsidR="00961004" w:rsidRPr="00FE6DB7" w14:paraId="30453ED9" w14:textId="77777777" w:rsidTr="003D3232">
        <w:tc>
          <w:tcPr>
            <w:tcW w:w="1838" w:type="dxa"/>
          </w:tcPr>
          <w:p w14:paraId="2B33C0CD" w14:textId="54FBF33C" w:rsidR="00961004" w:rsidRPr="00FE6DB7" w:rsidRDefault="00DE6C5F" w:rsidP="00961004">
            <w:pPr>
              <w:jc w:val="both"/>
              <w:rPr>
                <w:rFonts w:cstheme="minorHAnsi"/>
                <w:sz w:val="24"/>
                <w:szCs w:val="24"/>
              </w:rPr>
            </w:pPr>
            <w:r>
              <w:rPr>
                <w:rFonts w:cstheme="minorHAnsi"/>
                <w:sz w:val="24"/>
                <w:szCs w:val="24"/>
              </w:rPr>
              <w:t>Blood donor</w:t>
            </w:r>
            <w:r w:rsidR="00961004" w:rsidRPr="00FE6DB7">
              <w:rPr>
                <w:rFonts w:cstheme="minorHAnsi"/>
                <w:sz w:val="24"/>
                <w:szCs w:val="24"/>
              </w:rPr>
              <w:t>s</w:t>
            </w:r>
          </w:p>
        </w:tc>
        <w:tc>
          <w:tcPr>
            <w:tcW w:w="2835" w:type="dxa"/>
          </w:tcPr>
          <w:p w14:paraId="7B78340A" w14:textId="77777777" w:rsidR="00961004" w:rsidRPr="00FE6DB7" w:rsidRDefault="00961004" w:rsidP="0016089E">
            <w:pPr>
              <w:rPr>
                <w:rFonts w:cstheme="minorHAnsi"/>
                <w:sz w:val="24"/>
                <w:szCs w:val="24"/>
                <w:lang w:val="de-DE"/>
              </w:rPr>
            </w:pPr>
            <w:r w:rsidRPr="00FE6DB7">
              <w:rPr>
                <w:rFonts w:cstheme="minorHAnsi"/>
                <w:sz w:val="24"/>
                <w:szCs w:val="24"/>
                <w:lang w:val="de-DE"/>
              </w:rPr>
              <w:t>HIV 1/2 (Anti-HIV 1/2)</w:t>
            </w:r>
          </w:p>
          <w:p w14:paraId="4D714CFB" w14:textId="77777777" w:rsidR="00961004" w:rsidRPr="00FE6DB7" w:rsidRDefault="00961004" w:rsidP="0016089E">
            <w:pPr>
              <w:rPr>
                <w:rFonts w:cstheme="minorHAnsi"/>
                <w:sz w:val="24"/>
                <w:szCs w:val="24"/>
                <w:lang w:val="de-DE"/>
              </w:rPr>
            </w:pPr>
            <w:r w:rsidRPr="00FE6DB7">
              <w:rPr>
                <w:rFonts w:cstheme="minorHAnsi"/>
                <w:sz w:val="24"/>
                <w:szCs w:val="24"/>
                <w:lang w:val="de-DE"/>
              </w:rPr>
              <w:t>Hepatitis B (HBs-Ag)</w:t>
            </w:r>
          </w:p>
          <w:p w14:paraId="0EA32203" w14:textId="77777777" w:rsidR="00961004" w:rsidRPr="00FE6DB7" w:rsidRDefault="00961004" w:rsidP="0016089E">
            <w:pPr>
              <w:rPr>
                <w:rFonts w:cstheme="minorHAnsi"/>
                <w:sz w:val="24"/>
                <w:szCs w:val="24"/>
              </w:rPr>
            </w:pPr>
            <w:r w:rsidRPr="00FE6DB7">
              <w:rPr>
                <w:rFonts w:cstheme="minorHAnsi"/>
                <w:sz w:val="24"/>
                <w:szCs w:val="24"/>
              </w:rPr>
              <w:t>Hepatitis C (Anti-HCV)</w:t>
            </w:r>
          </w:p>
        </w:tc>
        <w:tc>
          <w:tcPr>
            <w:tcW w:w="1701" w:type="dxa"/>
          </w:tcPr>
          <w:p w14:paraId="235C84FD" w14:textId="77777777" w:rsidR="00961004" w:rsidRPr="00FE6DB7" w:rsidRDefault="00961004" w:rsidP="0016089E">
            <w:pPr>
              <w:rPr>
                <w:rFonts w:asciiTheme="majorHAnsi" w:hAnsiTheme="majorHAnsi" w:cstheme="majorHAnsi"/>
                <w:sz w:val="24"/>
                <w:szCs w:val="24"/>
              </w:rPr>
            </w:pPr>
            <w:r w:rsidRPr="00FE6DB7">
              <w:rPr>
                <w:rFonts w:cstheme="minorHAnsi"/>
                <w:sz w:val="24"/>
                <w:szCs w:val="24"/>
              </w:rPr>
              <w:t>2002/98/EC</w:t>
            </w:r>
            <w:r w:rsidRPr="00FE6DB7">
              <w:rPr>
                <w:rFonts w:asciiTheme="majorHAnsi" w:hAnsiTheme="majorHAnsi" w:cstheme="majorHAnsi"/>
                <w:sz w:val="24"/>
                <w:szCs w:val="24"/>
              </w:rPr>
              <w:t xml:space="preserve"> Annex </w:t>
            </w:r>
            <w:r w:rsidRPr="00FE6DB7">
              <w:rPr>
                <w:rFonts w:asciiTheme="majorHAnsi" w:eastAsia="Times New Roman" w:hAnsiTheme="majorHAnsi" w:cstheme="majorHAnsi"/>
                <w:color w:val="000000"/>
                <w:sz w:val="24"/>
                <w:szCs w:val="24"/>
                <w:lang w:eastAsia="fi-FI"/>
              </w:rPr>
              <w:t>IV</w:t>
            </w:r>
          </w:p>
          <w:p w14:paraId="2F66A4B8" w14:textId="77777777" w:rsidR="00961004" w:rsidRPr="00FE6DB7" w:rsidRDefault="00961004" w:rsidP="00961004">
            <w:pPr>
              <w:jc w:val="both"/>
              <w:rPr>
                <w:rFonts w:cstheme="minorHAnsi"/>
                <w:sz w:val="24"/>
                <w:szCs w:val="24"/>
              </w:rPr>
            </w:pPr>
          </w:p>
        </w:tc>
        <w:tc>
          <w:tcPr>
            <w:tcW w:w="2642" w:type="dxa"/>
            <w:vMerge w:val="restart"/>
          </w:tcPr>
          <w:p w14:paraId="10CF3DCC" w14:textId="75F65D68" w:rsidR="00D4499D" w:rsidRPr="00D4499D" w:rsidRDefault="00D4499D" w:rsidP="00D4499D">
            <w:pPr>
              <w:rPr>
                <w:rFonts w:asciiTheme="majorHAnsi" w:hAnsiTheme="majorHAnsi" w:cstheme="majorHAnsi"/>
                <w:color w:val="000000"/>
                <w:sz w:val="24"/>
                <w:szCs w:val="24"/>
              </w:rPr>
            </w:pPr>
            <w:r>
              <w:rPr>
                <w:rFonts w:asciiTheme="majorHAnsi" w:hAnsiTheme="majorHAnsi" w:cstheme="majorHAnsi"/>
                <w:color w:val="000000"/>
                <w:sz w:val="24"/>
                <w:szCs w:val="24"/>
              </w:rPr>
              <w:t xml:space="preserve">Based on e.g. </w:t>
            </w:r>
            <w:r w:rsidRPr="00D4499D">
              <w:rPr>
                <w:rFonts w:asciiTheme="majorHAnsi" w:hAnsiTheme="majorHAnsi" w:cstheme="majorHAnsi"/>
                <w:color w:val="000000"/>
                <w:sz w:val="24"/>
                <w:szCs w:val="24"/>
              </w:rPr>
              <w:t>the donor’s history</w:t>
            </w:r>
            <w:r>
              <w:rPr>
                <w:rFonts w:asciiTheme="majorHAnsi" w:hAnsiTheme="majorHAnsi" w:cstheme="majorHAnsi"/>
                <w:color w:val="000000"/>
                <w:sz w:val="24"/>
                <w:szCs w:val="24"/>
              </w:rPr>
              <w:t>,</w:t>
            </w:r>
            <w:r w:rsidRPr="00D4499D">
              <w:rPr>
                <w:rFonts w:asciiTheme="majorHAnsi" w:hAnsiTheme="majorHAnsi" w:cstheme="majorHAnsi"/>
                <w:color w:val="000000"/>
                <w:sz w:val="24"/>
                <w:szCs w:val="24"/>
              </w:rPr>
              <w:t xml:space="preserve"> the characteristics</w:t>
            </w:r>
          </w:p>
          <w:p w14:paraId="7B9D3EAE" w14:textId="56D6868B" w:rsidR="00D4499D" w:rsidRPr="00E93F9F" w:rsidRDefault="00D4499D" w:rsidP="00D4499D">
            <w:pPr>
              <w:rPr>
                <w:rFonts w:asciiTheme="majorHAnsi" w:hAnsiTheme="majorHAnsi" w:cstheme="majorHAnsi"/>
                <w:color w:val="000000"/>
                <w:sz w:val="24"/>
                <w:szCs w:val="24"/>
              </w:rPr>
            </w:pPr>
            <w:r w:rsidRPr="00D4499D">
              <w:rPr>
                <w:rFonts w:asciiTheme="majorHAnsi" w:hAnsiTheme="majorHAnsi" w:cstheme="majorHAnsi"/>
                <w:color w:val="000000"/>
                <w:sz w:val="24"/>
                <w:szCs w:val="24"/>
              </w:rPr>
              <w:t xml:space="preserve">of the </w:t>
            </w:r>
            <w:r>
              <w:rPr>
                <w:rFonts w:asciiTheme="majorHAnsi" w:hAnsiTheme="majorHAnsi" w:cstheme="majorHAnsi"/>
                <w:color w:val="000000"/>
                <w:sz w:val="24"/>
                <w:szCs w:val="24"/>
              </w:rPr>
              <w:t>BTC</w:t>
            </w:r>
            <w:r w:rsidRPr="00D4499D">
              <w:rPr>
                <w:rFonts w:asciiTheme="majorHAnsi" w:hAnsiTheme="majorHAnsi" w:cstheme="majorHAnsi"/>
                <w:color w:val="000000"/>
                <w:sz w:val="24"/>
                <w:szCs w:val="24"/>
              </w:rPr>
              <w:t xml:space="preserve"> donated</w:t>
            </w:r>
            <w:r>
              <w:rPr>
                <w:rFonts w:asciiTheme="majorHAnsi" w:hAnsiTheme="majorHAnsi" w:cstheme="majorHAnsi"/>
                <w:color w:val="000000"/>
                <w:sz w:val="24"/>
                <w:szCs w:val="24"/>
              </w:rPr>
              <w:t>,</w:t>
            </w:r>
            <w:r w:rsidRPr="00D4499D">
              <w:rPr>
                <w:rFonts w:asciiTheme="majorHAnsi" w:hAnsiTheme="majorHAnsi" w:cstheme="majorHAnsi"/>
                <w:color w:val="000000"/>
                <w:sz w:val="24"/>
                <w:szCs w:val="24"/>
              </w:rPr>
              <w:t xml:space="preserve"> </w:t>
            </w:r>
            <w:r>
              <w:rPr>
                <w:rFonts w:asciiTheme="majorHAnsi" w:hAnsiTheme="majorHAnsi" w:cstheme="majorHAnsi"/>
                <w:color w:val="000000"/>
                <w:sz w:val="24"/>
                <w:szCs w:val="24"/>
              </w:rPr>
              <w:t xml:space="preserve">national epidemiological situation, requirements in national legislation and guidance by </w:t>
            </w:r>
            <w:r w:rsidRPr="00FD7CD1">
              <w:rPr>
                <w:rFonts w:asciiTheme="majorHAnsi" w:hAnsiTheme="majorHAnsi" w:cstheme="majorHAnsi"/>
                <w:color w:val="000000"/>
                <w:sz w:val="24"/>
                <w:szCs w:val="24"/>
              </w:rPr>
              <w:t>European Centre for Disease Prevention and Control</w:t>
            </w:r>
            <w:r>
              <w:rPr>
                <w:rFonts w:asciiTheme="majorHAnsi" w:hAnsiTheme="majorHAnsi" w:cstheme="majorHAnsi"/>
                <w:color w:val="000000"/>
                <w:sz w:val="24"/>
                <w:szCs w:val="24"/>
              </w:rPr>
              <w:t xml:space="preserve"> (ECDC), additional testing on </w:t>
            </w:r>
            <w:r>
              <w:rPr>
                <w:rFonts w:cstheme="minorHAnsi"/>
                <w:sz w:val="24"/>
                <w:szCs w:val="24"/>
              </w:rPr>
              <w:t>e</w:t>
            </w:r>
            <w:r w:rsidR="005215DE" w:rsidRPr="005215DE">
              <w:rPr>
                <w:rFonts w:cstheme="minorHAnsi"/>
                <w:sz w:val="24"/>
                <w:szCs w:val="24"/>
              </w:rPr>
              <w:t xml:space="preserve">.g. </w:t>
            </w:r>
            <w:r w:rsidR="00DE6C5F" w:rsidRPr="005215DE">
              <w:rPr>
                <w:rFonts w:cstheme="minorHAnsi"/>
                <w:sz w:val="24"/>
                <w:szCs w:val="24"/>
              </w:rPr>
              <w:t>HTLV-I</w:t>
            </w:r>
            <w:r w:rsidR="00961004" w:rsidRPr="005215DE">
              <w:rPr>
                <w:rFonts w:cstheme="minorHAnsi"/>
                <w:sz w:val="24"/>
                <w:szCs w:val="24"/>
              </w:rPr>
              <w:t xml:space="preserve">, </w:t>
            </w:r>
            <w:r w:rsidR="00FD7CD1">
              <w:rPr>
                <w:rFonts w:cstheme="minorHAnsi"/>
                <w:sz w:val="24"/>
                <w:szCs w:val="24"/>
              </w:rPr>
              <w:t>CMV, malaria,</w:t>
            </w:r>
            <w:r w:rsidR="00961004" w:rsidRPr="005215DE">
              <w:rPr>
                <w:rFonts w:cstheme="minorHAnsi"/>
                <w:sz w:val="24"/>
                <w:szCs w:val="24"/>
              </w:rPr>
              <w:t xml:space="preserve"> toxoplasma, EBV, </w:t>
            </w:r>
            <w:r w:rsidR="00961004" w:rsidRPr="005215DE">
              <w:rPr>
                <w:rFonts w:cstheme="minorHAnsi"/>
                <w:i/>
                <w:sz w:val="24"/>
                <w:szCs w:val="24"/>
              </w:rPr>
              <w:t>Trypanosoma cruzi</w:t>
            </w:r>
            <w:r w:rsidR="00FD7CD1">
              <w:rPr>
                <w:rFonts w:asciiTheme="majorHAnsi" w:hAnsiTheme="majorHAnsi" w:cstheme="majorHAnsi"/>
                <w:color w:val="000000"/>
                <w:sz w:val="24"/>
                <w:szCs w:val="24"/>
              </w:rPr>
              <w:t xml:space="preserve">, </w:t>
            </w:r>
            <w:r w:rsidR="00E93F9F">
              <w:rPr>
                <w:rFonts w:asciiTheme="majorHAnsi" w:hAnsiTheme="majorHAnsi" w:cstheme="majorHAnsi"/>
                <w:color w:val="000000"/>
                <w:sz w:val="24"/>
                <w:szCs w:val="24"/>
              </w:rPr>
              <w:t>Hepatitis E virus</w:t>
            </w:r>
            <w:r>
              <w:rPr>
                <w:rFonts w:asciiTheme="majorHAnsi" w:hAnsiTheme="majorHAnsi" w:cstheme="majorHAnsi"/>
                <w:color w:val="000000"/>
                <w:sz w:val="24"/>
                <w:szCs w:val="24"/>
              </w:rPr>
              <w:t xml:space="preserve"> may be required</w:t>
            </w:r>
          </w:p>
          <w:p w14:paraId="51868265" w14:textId="3AE8CE8D" w:rsidR="00B4735C" w:rsidRPr="00E93F9F" w:rsidRDefault="00B4735C" w:rsidP="00D4499D">
            <w:pPr>
              <w:rPr>
                <w:rFonts w:asciiTheme="majorHAnsi" w:hAnsiTheme="majorHAnsi" w:cstheme="majorHAnsi"/>
                <w:color w:val="000000"/>
                <w:sz w:val="24"/>
                <w:szCs w:val="24"/>
              </w:rPr>
            </w:pPr>
          </w:p>
        </w:tc>
      </w:tr>
      <w:tr w:rsidR="00961004" w:rsidRPr="00FE6DB7" w14:paraId="33C54AE2" w14:textId="77777777" w:rsidTr="003D3232">
        <w:tc>
          <w:tcPr>
            <w:tcW w:w="1838" w:type="dxa"/>
          </w:tcPr>
          <w:p w14:paraId="6B88E2B8" w14:textId="1A91F8DD" w:rsidR="00961004" w:rsidRPr="00FE6DB7" w:rsidRDefault="00961004" w:rsidP="009376CD">
            <w:pPr>
              <w:rPr>
                <w:rFonts w:cstheme="minorHAnsi"/>
                <w:sz w:val="24"/>
                <w:szCs w:val="24"/>
              </w:rPr>
            </w:pPr>
            <w:r w:rsidRPr="00FE6DB7">
              <w:rPr>
                <w:rFonts w:cstheme="minorHAnsi"/>
                <w:sz w:val="24"/>
                <w:szCs w:val="24"/>
              </w:rPr>
              <w:t>Tissue and cell donor</w:t>
            </w:r>
            <w:r w:rsidR="009376CD">
              <w:rPr>
                <w:rFonts w:cstheme="minorHAnsi"/>
                <w:sz w:val="24"/>
                <w:szCs w:val="24"/>
              </w:rPr>
              <w:t>s</w:t>
            </w:r>
          </w:p>
        </w:tc>
        <w:tc>
          <w:tcPr>
            <w:tcW w:w="2835" w:type="dxa"/>
          </w:tcPr>
          <w:p w14:paraId="7D6EAF84" w14:textId="77777777" w:rsidR="00961004" w:rsidRPr="00FE6DB7" w:rsidRDefault="00961004" w:rsidP="0016089E">
            <w:pPr>
              <w:rPr>
                <w:rFonts w:cstheme="minorHAnsi"/>
                <w:sz w:val="24"/>
                <w:szCs w:val="24"/>
              </w:rPr>
            </w:pPr>
            <w:r w:rsidRPr="00FE6DB7">
              <w:rPr>
                <w:rFonts w:cstheme="minorHAnsi"/>
                <w:sz w:val="24"/>
                <w:szCs w:val="24"/>
              </w:rPr>
              <w:t>HIV 1 and 2 (Anti-HIV-1,2)</w:t>
            </w:r>
          </w:p>
          <w:p w14:paraId="1A5052C4" w14:textId="43452EF4" w:rsidR="00961004" w:rsidRPr="00FE6DB7" w:rsidRDefault="00961004" w:rsidP="0016089E">
            <w:pPr>
              <w:rPr>
                <w:rFonts w:cstheme="minorHAnsi"/>
                <w:sz w:val="24"/>
                <w:szCs w:val="24"/>
              </w:rPr>
            </w:pPr>
            <w:r w:rsidRPr="00FE6DB7">
              <w:rPr>
                <w:rFonts w:cstheme="minorHAnsi"/>
                <w:sz w:val="24"/>
                <w:szCs w:val="24"/>
              </w:rPr>
              <w:t>Hepatitis B (HBsAg</w:t>
            </w:r>
            <w:r w:rsidR="0016089E">
              <w:rPr>
                <w:rFonts w:cstheme="minorHAnsi"/>
                <w:sz w:val="24"/>
                <w:szCs w:val="24"/>
              </w:rPr>
              <w:t>,</w:t>
            </w:r>
            <w:r w:rsidR="004318E5">
              <w:rPr>
                <w:rFonts w:cstheme="minorHAnsi"/>
                <w:sz w:val="24"/>
                <w:szCs w:val="24"/>
              </w:rPr>
              <w:t xml:space="preserve"> Anti-</w:t>
            </w:r>
            <w:r w:rsidRPr="00FE6DB7">
              <w:rPr>
                <w:rFonts w:cstheme="minorHAnsi"/>
                <w:sz w:val="24"/>
                <w:szCs w:val="24"/>
              </w:rPr>
              <w:t>HBc)</w:t>
            </w:r>
          </w:p>
          <w:p w14:paraId="1683EDC4" w14:textId="77777777" w:rsidR="00961004" w:rsidRPr="00FE6DB7" w:rsidRDefault="00961004" w:rsidP="0016089E">
            <w:pPr>
              <w:rPr>
                <w:rFonts w:cstheme="minorHAnsi"/>
                <w:sz w:val="24"/>
                <w:szCs w:val="24"/>
              </w:rPr>
            </w:pPr>
            <w:r w:rsidRPr="00FE6DB7">
              <w:rPr>
                <w:rFonts w:cstheme="minorHAnsi"/>
                <w:sz w:val="24"/>
                <w:szCs w:val="24"/>
              </w:rPr>
              <w:t>Hepatitis C (Anti-HCV-Ab)</w:t>
            </w:r>
          </w:p>
          <w:p w14:paraId="5E453365" w14:textId="77777777" w:rsidR="00961004" w:rsidRPr="00FE6DB7" w:rsidRDefault="00961004" w:rsidP="0016089E">
            <w:pPr>
              <w:rPr>
                <w:rFonts w:cstheme="minorHAnsi"/>
                <w:sz w:val="24"/>
                <w:szCs w:val="24"/>
              </w:rPr>
            </w:pPr>
            <w:r w:rsidRPr="00FE6DB7">
              <w:rPr>
                <w:rFonts w:cstheme="minorHAnsi"/>
                <w:i/>
                <w:iCs/>
                <w:sz w:val="24"/>
                <w:szCs w:val="24"/>
                <w:lang w:val="fi-FI"/>
              </w:rPr>
              <w:t>Treponema pallidum</w:t>
            </w:r>
          </w:p>
        </w:tc>
        <w:tc>
          <w:tcPr>
            <w:tcW w:w="1701" w:type="dxa"/>
          </w:tcPr>
          <w:p w14:paraId="1FD19691" w14:textId="60D1048F" w:rsidR="00961004" w:rsidRPr="00FE6DB7" w:rsidRDefault="00961004" w:rsidP="0016089E">
            <w:pPr>
              <w:rPr>
                <w:rFonts w:cstheme="minorHAnsi"/>
                <w:sz w:val="24"/>
                <w:szCs w:val="24"/>
              </w:rPr>
            </w:pPr>
            <w:r w:rsidRPr="00FE6DB7">
              <w:rPr>
                <w:rFonts w:cstheme="minorHAnsi"/>
                <w:sz w:val="24"/>
                <w:szCs w:val="24"/>
              </w:rPr>
              <w:t>2006/1</w:t>
            </w:r>
            <w:r w:rsidR="004318E5">
              <w:rPr>
                <w:rFonts w:cstheme="minorHAnsi"/>
                <w:sz w:val="24"/>
                <w:szCs w:val="24"/>
              </w:rPr>
              <w:t>7/EC Annex II</w:t>
            </w:r>
          </w:p>
        </w:tc>
        <w:tc>
          <w:tcPr>
            <w:tcW w:w="2642" w:type="dxa"/>
            <w:vMerge/>
          </w:tcPr>
          <w:p w14:paraId="4689E93B" w14:textId="77777777" w:rsidR="00961004" w:rsidRPr="00FE6DB7" w:rsidRDefault="00961004" w:rsidP="00961004">
            <w:pPr>
              <w:jc w:val="both"/>
              <w:rPr>
                <w:rFonts w:cstheme="minorHAnsi"/>
                <w:sz w:val="24"/>
                <w:szCs w:val="24"/>
              </w:rPr>
            </w:pPr>
          </w:p>
        </w:tc>
      </w:tr>
      <w:tr w:rsidR="00961004" w:rsidRPr="00FE6DB7" w14:paraId="026AF562" w14:textId="77777777" w:rsidTr="003D3232">
        <w:tc>
          <w:tcPr>
            <w:tcW w:w="1838" w:type="dxa"/>
          </w:tcPr>
          <w:p w14:paraId="32D6A0C3" w14:textId="63D63A72" w:rsidR="00961004" w:rsidRPr="00FE6DB7" w:rsidRDefault="00961004" w:rsidP="009376CD">
            <w:pPr>
              <w:rPr>
                <w:rFonts w:cstheme="minorHAnsi"/>
                <w:sz w:val="24"/>
                <w:szCs w:val="24"/>
              </w:rPr>
            </w:pPr>
            <w:r w:rsidRPr="00FE6DB7">
              <w:rPr>
                <w:rFonts w:cstheme="minorHAnsi"/>
                <w:sz w:val="24"/>
                <w:szCs w:val="24"/>
              </w:rPr>
              <w:t>Reproductive cell donor</w:t>
            </w:r>
            <w:r w:rsidR="009376CD">
              <w:rPr>
                <w:rFonts w:cstheme="minorHAnsi"/>
                <w:sz w:val="24"/>
                <w:szCs w:val="24"/>
              </w:rPr>
              <w:t>s</w:t>
            </w:r>
            <w:r w:rsidRPr="00FE6DB7">
              <w:rPr>
                <w:rFonts w:cstheme="minorHAnsi"/>
                <w:sz w:val="24"/>
                <w:szCs w:val="24"/>
              </w:rPr>
              <w:t xml:space="preserve"> </w:t>
            </w:r>
          </w:p>
        </w:tc>
        <w:tc>
          <w:tcPr>
            <w:tcW w:w="2835" w:type="dxa"/>
          </w:tcPr>
          <w:p w14:paraId="6EE21874" w14:textId="77777777" w:rsidR="00961004" w:rsidRPr="00FE6DB7" w:rsidRDefault="00961004" w:rsidP="0016089E">
            <w:pPr>
              <w:rPr>
                <w:rFonts w:cstheme="minorHAnsi"/>
                <w:sz w:val="24"/>
                <w:szCs w:val="24"/>
              </w:rPr>
            </w:pPr>
            <w:r w:rsidRPr="00FE6DB7">
              <w:rPr>
                <w:rFonts w:cstheme="minorHAnsi"/>
                <w:sz w:val="24"/>
                <w:szCs w:val="24"/>
              </w:rPr>
              <w:t>HIV 1 and 2 (Anti-HIV-1,2)</w:t>
            </w:r>
          </w:p>
          <w:p w14:paraId="72D0FC25" w14:textId="1DFB3C63" w:rsidR="00961004" w:rsidRPr="00FE6DB7" w:rsidRDefault="00961004" w:rsidP="0016089E">
            <w:pPr>
              <w:rPr>
                <w:rFonts w:cstheme="minorHAnsi"/>
                <w:sz w:val="24"/>
                <w:szCs w:val="24"/>
              </w:rPr>
            </w:pPr>
            <w:r w:rsidRPr="00FE6DB7">
              <w:rPr>
                <w:rFonts w:cstheme="minorHAnsi"/>
                <w:sz w:val="24"/>
                <w:szCs w:val="24"/>
              </w:rPr>
              <w:t>Hepatitis B (HBsAg</w:t>
            </w:r>
            <w:r w:rsidR="0016089E">
              <w:rPr>
                <w:rFonts w:cstheme="minorHAnsi"/>
                <w:sz w:val="24"/>
                <w:szCs w:val="24"/>
              </w:rPr>
              <w:t>,</w:t>
            </w:r>
            <w:r w:rsidR="004318E5">
              <w:rPr>
                <w:rFonts w:cstheme="minorHAnsi"/>
                <w:sz w:val="24"/>
                <w:szCs w:val="24"/>
              </w:rPr>
              <w:t xml:space="preserve"> Anti-</w:t>
            </w:r>
            <w:r w:rsidRPr="00FE6DB7">
              <w:rPr>
                <w:rFonts w:cstheme="minorHAnsi"/>
                <w:sz w:val="24"/>
                <w:szCs w:val="24"/>
              </w:rPr>
              <w:t>HBc)</w:t>
            </w:r>
          </w:p>
          <w:p w14:paraId="566607C2" w14:textId="77777777" w:rsidR="00961004" w:rsidRPr="00FE6DB7" w:rsidRDefault="00961004" w:rsidP="0016089E">
            <w:pPr>
              <w:rPr>
                <w:rFonts w:cstheme="minorHAnsi"/>
                <w:sz w:val="24"/>
                <w:szCs w:val="24"/>
              </w:rPr>
            </w:pPr>
            <w:r w:rsidRPr="00FE6DB7">
              <w:rPr>
                <w:rFonts w:cstheme="minorHAnsi"/>
                <w:sz w:val="24"/>
                <w:szCs w:val="24"/>
              </w:rPr>
              <w:t>Hepatitis C (Anti-HCV-Ab)</w:t>
            </w:r>
          </w:p>
          <w:p w14:paraId="17E3B3B9" w14:textId="77777777" w:rsidR="00961004" w:rsidRDefault="00961004" w:rsidP="0016089E">
            <w:pPr>
              <w:rPr>
                <w:rFonts w:cstheme="minorHAnsi"/>
                <w:iCs/>
                <w:sz w:val="24"/>
                <w:szCs w:val="24"/>
                <w:lang w:val="fi-FI"/>
              </w:rPr>
            </w:pPr>
            <w:r w:rsidRPr="00FE6DB7">
              <w:rPr>
                <w:rFonts w:cstheme="minorHAnsi"/>
                <w:i/>
                <w:iCs/>
                <w:sz w:val="24"/>
                <w:szCs w:val="24"/>
                <w:lang w:val="fi-FI"/>
              </w:rPr>
              <w:t xml:space="preserve">Treponema pallidum </w:t>
            </w:r>
            <w:r w:rsidRPr="00FE6DB7">
              <w:rPr>
                <w:rFonts w:cstheme="minorHAnsi"/>
                <w:iCs/>
                <w:sz w:val="24"/>
                <w:szCs w:val="24"/>
                <w:lang w:val="fi-FI"/>
              </w:rPr>
              <w:t>(non partner donors)</w:t>
            </w:r>
          </w:p>
          <w:p w14:paraId="2344821B" w14:textId="5577148D" w:rsidR="00D05EF0" w:rsidRPr="00FE6DB7" w:rsidRDefault="00D05EF0" w:rsidP="0016089E">
            <w:pPr>
              <w:rPr>
                <w:rFonts w:cstheme="minorHAnsi"/>
                <w:sz w:val="24"/>
                <w:szCs w:val="24"/>
              </w:rPr>
            </w:pPr>
            <w:r w:rsidRPr="001D78F2">
              <w:rPr>
                <w:rFonts w:cstheme="minorHAnsi"/>
                <w:iCs/>
                <w:sz w:val="24"/>
                <w:szCs w:val="24"/>
              </w:rPr>
              <w:t>Chlamydia (sperm donors; urine sample NAT testing)</w:t>
            </w:r>
          </w:p>
        </w:tc>
        <w:tc>
          <w:tcPr>
            <w:tcW w:w="1701" w:type="dxa"/>
          </w:tcPr>
          <w:p w14:paraId="16401D7A" w14:textId="168A1619" w:rsidR="00961004" w:rsidRPr="00FE6DB7" w:rsidRDefault="004318E5" w:rsidP="0016089E">
            <w:pPr>
              <w:rPr>
                <w:rFonts w:cstheme="minorHAnsi"/>
                <w:sz w:val="24"/>
                <w:szCs w:val="24"/>
              </w:rPr>
            </w:pPr>
            <w:r>
              <w:rPr>
                <w:rFonts w:cstheme="minorHAnsi"/>
                <w:sz w:val="24"/>
                <w:szCs w:val="24"/>
              </w:rPr>
              <w:t xml:space="preserve">2006/17/EC Annex </w:t>
            </w:r>
            <w:r w:rsidR="00961004" w:rsidRPr="00FE6DB7">
              <w:rPr>
                <w:rFonts w:cstheme="minorHAnsi"/>
                <w:sz w:val="24"/>
                <w:szCs w:val="24"/>
              </w:rPr>
              <w:t>III</w:t>
            </w:r>
          </w:p>
        </w:tc>
        <w:tc>
          <w:tcPr>
            <w:tcW w:w="2642" w:type="dxa"/>
            <w:vMerge/>
          </w:tcPr>
          <w:p w14:paraId="34B798BA" w14:textId="77777777" w:rsidR="00961004" w:rsidRPr="00FE6DB7" w:rsidRDefault="00961004" w:rsidP="00961004">
            <w:pPr>
              <w:jc w:val="both"/>
              <w:rPr>
                <w:rFonts w:cstheme="minorHAnsi"/>
                <w:color w:val="FF0000"/>
                <w:sz w:val="24"/>
                <w:szCs w:val="24"/>
              </w:rPr>
            </w:pPr>
          </w:p>
        </w:tc>
      </w:tr>
    </w:tbl>
    <w:p w14:paraId="5C5473F6" w14:textId="77777777" w:rsidR="00961004" w:rsidRPr="00FE6DB7" w:rsidRDefault="00961004" w:rsidP="00961004">
      <w:pPr>
        <w:jc w:val="both"/>
        <w:rPr>
          <w:rFonts w:cstheme="minorHAnsi"/>
          <w:sz w:val="24"/>
          <w:szCs w:val="24"/>
        </w:rPr>
      </w:pPr>
    </w:p>
    <w:p w14:paraId="2EF18986" w14:textId="77777777" w:rsidR="00961004" w:rsidRPr="00FE6DB7" w:rsidRDefault="00961004" w:rsidP="00961004">
      <w:pPr>
        <w:jc w:val="both"/>
        <w:rPr>
          <w:rFonts w:cstheme="minorHAnsi"/>
          <w:sz w:val="24"/>
          <w:szCs w:val="24"/>
        </w:rPr>
      </w:pPr>
      <w:r w:rsidRPr="00FE6DB7">
        <w:rPr>
          <w:rFonts w:cstheme="minorHAnsi"/>
          <w:sz w:val="24"/>
          <w:szCs w:val="24"/>
        </w:rPr>
        <w:t>Effective donor testing for the detection of the high risk transmissible infectious agents can reduce the risk of transmission to a very low level (EDQM 2017 &amp; WHO 2009). In addition to reliable laboratory testing of donors for a range of markers of infectious agents, the choice of assays or platforms together with the quality management systems in place are crucial to ensure the lowest possible infection risk associated with transfusion and transplantation.</w:t>
      </w:r>
    </w:p>
    <w:p w14:paraId="0335AC68" w14:textId="5699A9EF" w:rsidR="00961004" w:rsidRPr="00FE6DB7" w:rsidRDefault="00961004" w:rsidP="00961004">
      <w:pPr>
        <w:jc w:val="both"/>
        <w:rPr>
          <w:rFonts w:eastAsia="Times New Roman" w:cstheme="minorHAnsi"/>
          <w:sz w:val="24"/>
          <w:szCs w:val="24"/>
          <w:lang w:eastAsia="fi-FI"/>
        </w:rPr>
      </w:pPr>
      <w:r w:rsidRPr="00FE6DB7">
        <w:rPr>
          <w:rFonts w:eastAsia="Times New Roman" w:cstheme="minorHAnsi"/>
          <w:sz w:val="24"/>
          <w:szCs w:val="24"/>
          <w:lang w:eastAsia="fi-FI"/>
        </w:rPr>
        <w:t>Requirements for selection, validation, a</w:t>
      </w:r>
      <w:r w:rsidR="00DE6C5F">
        <w:rPr>
          <w:rFonts w:eastAsia="Times New Roman" w:cstheme="minorHAnsi"/>
          <w:sz w:val="24"/>
          <w:szCs w:val="24"/>
          <w:lang w:eastAsia="fi-FI"/>
        </w:rPr>
        <w:t>nd performance of donor</w:t>
      </w:r>
      <w:r w:rsidRPr="00FE6DB7">
        <w:rPr>
          <w:rFonts w:eastAsia="Times New Roman" w:cstheme="minorHAnsi"/>
          <w:sz w:val="24"/>
          <w:szCs w:val="24"/>
          <w:lang w:eastAsia="fi-FI"/>
        </w:rPr>
        <w:t xml:space="preserve"> infectious disease marke</w:t>
      </w:r>
      <w:r w:rsidR="00DE6C5F">
        <w:rPr>
          <w:rFonts w:eastAsia="Times New Roman" w:cstheme="minorHAnsi"/>
          <w:sz w:val="24"/>
          <w:szCs w:val="24"/>
          <w:lang w:eastAsia="fi-FI"/>
        </w:rPr>
        <w:t>r testing kits</w:t>
      </w:r>
      <w:r w:rsidRPr="00FE6DB7">
        <w:rPr>
          <w:rFonts w:eastAsia="Times New Roman" w:cstheme="minorHAnsi"/>
          <w:sz w:val="24"/>
          <w:szCs w:val="24"/>
          <w:lang w:eastAsia="fi-FI"/>
        </w:rPr>
        <w:t xml:space="preserve"> and other methods in the BTC field are summarized below.</w:t>
      </w:r>
    </w:p>
    <w:p w14:paraId="3D23B346" w14:textId="51DD6AF8" w:rsidR="00961004" w:rsidRPr="00FE6DB7" w:rsidRDefault="00961004" w:rsidP="009A297D">
      <w:pPr>
        <w:pStyle w:val="Heading2"/>
        <w:numPr>
          <w:ilvl w:val="1"/>
          <w:numId w:val="15"/>
        </w:numPr>
      </w:pPr>
      <w:bookmarkStart w:id="14" w:name="_Toc41427153"/>
      <w:r w:rsidRPr="006146BE">
        <w:t xml:space="preserve">Selection of </w:t>
      </w:r>
      <w:r>
        <w:t xml:space="preserve">donor </w:t>
      </w:r>
      <w:r w:rsidRPr="00D86570">
        <w:t>infectious</w:t>
      </w:r>
      <w:r>
        <w:t xml:space="preserve"> marker test</w:t>
      </w:r>
      <w:r w:rsidRPr="006146BE">
        <w:t>ing kits</w:t>
      </w:r>
      <w:r>
        <w:t xml:space="preserve"> and other methods</w:t>
      </w:r>
      <w:bookmarkEnd w:id="14"/>
    </w:p>
    <w:p w14:paraId="14B60970" w14:textId="10647583" w:rsidR="00E720E7" w:rsidRPr="00A51A32" w:rsidRDefault="00E720E7" w:rsidP="00E720E7">
      <w:pPr>
        <w:jc w:val="both"/>
        <w:rPr>
          <w:sz w:val="24"/>
          <w:szCs w:val="24"/>
        </w:rPr>
      </w:pPr>
      <w:r w:rsidRPr="00A51A32">
        <w:rPr>
          <w:sz w:val="24"/>
          <w:szCs w:val="24"/>
        </w:rPr>
        <w:t>The selection of appropriate kit is a critical part of the donor testing. Numerous commercial infectious marker testing kits are available. These are based on various types of assays which detect antibodies, antigens or the nucleic acid of the infectious agent (EDQM T&amp;C 2019, WHO 2009). Different types of assays for testing include:</w:t>
      </w:r>
    </w:p>
    <w:p w14:paraId="2694D399" w14:textId="77777777" w:rsidR="00E720E7" w:rsidRPr="00A51A32" w:rsidRDefault="00E720E7" w:rsidP="009A297D">
      <w:pPr>
        <w:pStyle w:val="ListParagraph"/>
        <w:numPr>
          <w:ilvl w:val="0"/>
          <w:numId w:val="7"/>
        </w:numPr>
        <w:rPr>
          <w:sz w:val="24"/>
          <w:szCs w:val="24"/>
        </w:rPr>
      </w:pPr>
      <w:r w:rsidRPr="00A51A32">
        <w:rPr>
          <w:sz w:val="24"/>
          <w:szCs w:val="24"/>
        </w:rPr>
        <w:t>Immunoassays (IAs);</w:t>
      </w:r>
    </w:p>
    <w:p w14:paraId="36865A1E" w14:textId="77777777" w:rsidR="00E720E7" w:rsidRPr="00A51A32" w:rsidRDefault="00E720E7" w:rsidP="009A297D">
      <w:pPr>
        <w:pStyle w:val="ListParagraph"/>
        <w:numPr>
          <w:ilvl w:val="0"/>
          <w:numId w:val="7"/>
        </w:numPr>
        <w:rPr>
          <w:sz w:val="24"/>
          <w:szCs w:val="24"/>
        </w:rPr>
      </w:pPr>
      <w:r w:rsidRPr="00A51A32">
        <w:rPr>
          <w:sz w:val="24"/>
          <w:szCs w:val="24"/>
        </w:rPr>
        <w:t>Enzyme immunoassays (EIAs);</w:t>
      </w:r>
    </w:p>
    <w:p w14:paraId="5B3BF9F4" w14:textId="77777777" w:rsidR="00E720E7" w:rsidRPr="00A51A32" w:rsidRDefault="00E720E7" w:rsidP="009A297D">
      <w:pPr>
        <w:pStyle w:val="ListParagraph"/>
        <w:numPr>
          <w:ilvl w:val="0"/>
          <w:numId w:val="7"/>
        </w:numPr>
        <w:rPr>
          <w:sz w:val="24"/>
          <w:szCs w:val="24"/>
        </w:rPr>
      </w:pPr>
      <w:r w:rsidRPr="00A51A32">
        <w:rPr>
          <w:sz w:val="24"/>
          <w:szCs w:val="24"/>
        </w:rPr>
        <w:t>Chemiluminescent immunoassays (CLIAs);</w:t>
      </w:r>
    </w:p>
    <w:p w14:paraId="26F0E34E" w14:textId="127E2459" w:rsidR="00E720E7" w:rsidRPr="00A51A32" w:rsidRDefault="00E720E7" w:rsidP="009A297D">
      <w:pPr>
        <w:pStyle w:val="ListParagraph"/>
        <w:numPr>
          <w:ilvl w:val="0"/>
          <w:numId w:val="7"/>
        </w:numPr>
        <w:rPr>
          <w:sz w:val="24"/>
          <w:szCs w:val="24"/>
        </w:rPr>
      </w:pPr>
      <w:r w:rsidRPr="00A51A32">
        <w:rPr>
          <w:sz w:val="24"/>
          <w:szCs w:val="24"/>
        </w:rPr>
        <w:lastRenderedPageBreak/>
        <w:t>Haemagglutination (HA)/particle agglutination assays</w:t>
      </w:r>
      <w:r w:rsidR="0071523C">
        <w:rPr>
          <w:sz w:val="24"/>
          <w:szCs w:val="24"/>
        </w:rPr>
        <w:t xml:space="preserve"> </w:t>
      </w:r>
      <w:r w:rsidRPr="00A51A32">
        <w:rPr>
          <w:sz w:val="24"/>
          <w:szCs w:val="24"/>
        </w:rPr>
        <w:t>(PAs);</w:t>
      </w:r>
    </w:p>
    <w:p w14:paraId="024CDCC4" w14:textId="77777777" w:rsidR="00E720E7" w:rsidRPr="00A51A32" w:rsidRDefault="00E720E7" w:rsidP="009A297D">
      <w:pPr>
        <w:pStyle w:val="ListParagraph"/>
        <w:numPr>
          <w:ilvl w:val="0"/>
          <w:numId w:val="7"/>
        </w:numPr>
        <w:rPr>
          <w:sz w:val="24"/>
          <w:szCs w:val="24"/>
        </w:rPr>
      </w:pPr>
      <w:r w:rsidRPr="00A51A32">
        <w:rPr>
          <w:sz w:val="24"/>
          <w:szCs w:val="24"/>
        </w:rPr>
        <w:t>Rapid/simple single-use assays (rapid tests);</w:t>
      </w:r>
    </w:p>
    <w:p w14:paraId="59BDEBDF" w14:textId="77777777" w:rsidR="00E720E7" w:rsidRPr="00A51A32" w:rsidRDefault="00E720E7" w:rsidP="009A297D">
      <w:pPr>
        <w:pStyle w:val="ListParagraph"/>
        <w:numPr>
          <w:ilvl w:val="0"/>
          <w:numId w:val="7"/>
        </w:numPr>
        <w:rPr>
          <w:sz w:val="24"/>
          <w:szCs w:val="24"/>
        </w:rPr>
      </w:pPr>
      <w:r w:rsidRPr="00A51A32">
        <w:rPr>
          <w:sz w:val="24"/>
          <w:szCs w:val="24"/>
        </w:rPr>
        <w:t>Nucleic acid amplification technology (NAT) assays (WHO 2009).</w:t>
      </w:r>
    </w:p>
    <w:p w14:paraId="660EAB58" w14:textId="77777777" w:rsidR="00E720E7" w:rsidRPr="00A51A32" w:rsidRDefault="00E720E7" w:rsidP="00E720E7">
      <w:pPr>
        <w:jc w:val="both"/>
        <w:rPr>
          <w:sz w:val="24"/>
          <w:szCs w:val="24"/>
        </w:rPr>
      </w:pPr>
      <w:r w:rsidRPr="00A51A32">
        <w:rPr>
          <w:sz w:val="24"/>
          <w:szCs w:val="24"/>
        </w:rPr>
        <w:t xml:space="preserve">However, not all assays are suitable in all situations and each testing system has its advantages and limitations that should be taken into consideration when selecting donor infectious marker testing kits (WHO 2009). As a minimum requirement the following factors should be considered in selecting the most appropriate assays. </w:t>
      </w:r>
    </w:p>
    <w:p w14:paraId="5BD03DF0" w14:textId="55E0368B" w:rsidR="00E720E7" w:rsidRPr="00A51A32" w:rsidRDefault="00E720E7" w:rsidP="00E720E7">
      <w:pPr>
        <w:jc w:val="both"/>
        <w:rPr>
          <w:sz w:val="24"/>
          <w:szCs w:val="24"/>
        </w:rPr>
      </w:pPr>
      <w:r w:rsidRPr="00A51A32">
        <w:rPr>
          <w:sz w:val="24"/>
          <w:szCs w:val="24"/>
        </w:rPr>
        <w:t>As a general requirement infectious disease marker testing of tissue and cell donors must be carried out using CE-marked testing kits where appropriate (2006/17/EC</w:t>
      </w:r>
      <w:r w:rsidR="00E27BCF">
        <w:rPr>
          <w:sz w:val="24"/>
          <w:szCs w:val="24"/>
        </w:rPr>
        <w:t>, Annex II, 2.</w:t>
      </w:r>
      <w:r w:rsidR="006F5A86">
        <w:rPr>
          <w:sz w:val="24"/>
          <w:szCs w:val="24"/>
        </w:rPr>
        <w:t>1</w:t>
      </w:r>
      <w:r w:rsidRPr="00A51A32">
        <w:rPr>
          <w:sz w:val="24"/>
          <w:szCs w:val="24"/>
        </w:rPr>
        <w:t xml:space="preserve">). </w:t>
      </w:r>
      <w:r w:rsidR="008F4CDE">
        <w:rPr>
          <w:sz w:val="24"/>
          <w:szCs w:val="24"/>
        </w:rPr>
        <w:t>Materials, reagents and equipment used in blood sector should also be CE-marked, if relevant (</w:t>
      </w:r>
      <w:r w:rsidR="008F4CDE">
        <w:rPr>
          <w:rFonts w:cstheme="minorHAnsi"/>
          <w:sz w:val="24"/>
          <w:szCs w:val="24"/>
        </w:rPr>
        <w:t xml:space="preserve">Directive (EU) 2016/1214 Art. 1, Good Practice Guidelines 4.1.9). </w:t>
      </w:r>
      <w:r w:rsidRPr="00A51A32">
        <w:rPr>
          <w:sz w:val="24"/>
          <w:szCs w:val="24"/>
        </w:rPr>
        <w:t xml:space="preserve">Kits used </w:t>
      </w:r>
      <w:r w:rsidRPr="00A51A32">
        <w:rPr>
          <w:i/>
          <w:sz w:val="24"/>
          <w:szCs w:val="24"/>
        </w:rPr>
        <w:t>in vitro</w:t>
      </w:r>
      <w:r w:rsidRPr="00A51A32">
        <w:rPr>
          <w:sz w:val="24"/>
          <w:szCs w:val="24"/>
        </w:rPr>
        <w:t xml:space="preserve"> for the examination of pathological state of blood and tissue donors are considered as </w:t>
      </w:r>
      <w:r w:rsidRPr="00A51A32">
        <w:rPr>
          <w:i/>
          <w:sz w:val="24"/>
          <w:szCs w:val="24"/>
        </w:rPr>
        <w:t xml:space="preserve">in vitro </w:t>
      </w:r>
      <w:r w:rsidRPr="00A51A32">
        <w:rPr>
          <w:sz w:val="24"/>
          <w:szCs w:val="24"/>
        </w:rPr>
        <w:t xml:space="preserve">diagnostic medical devices which must be CE-marked before placing on the market within EU (Regulation (EU) 2017/746). </w:t>
      </w:r>
      <w:r w:rsidRPr="00962E3B">
        <w:rPr>
          <w:sz w:val="24"/>
          <w:szCs w:val="24"/>
        </w:rPr>
        <w:t>In addition to testing kits, all reagents and reagent products, intended to be used</w:t>
      </w:r>
      <w:r w:rsidRPr="00962E3B">
        <w:rPr>
          <w:i/>
          <w:sz w:val="24"/>
          <w:szCs w:val="24"/>
        </w:rPr>
        <w:t xml:space="preserve"> in vitro </w:t>
      </w:r>
      <w:r w:rsidRPr="00962E3B">
        <w:rPr>
          <w:sz w:val="24"/>
          <w:szCs w:val="24"/>
        </w:rPr>
        <w:t xml:space="preserve">for the examination of blood donors are also considered as </w:t>
      </w:r>
      <w:r w:rsidRPr="00962E3B">
        <w:rPr>
          <w:i/>
          <w:sz w:val="24"/>
          <w:szCs w:val="24"/>
        </w:rPr>
        <w:t>in vitro</w:t>
      </w:r>
      <w:r w:rsidRPr="00962E3B">
        <w:rPr>
          <w:sz w:val="24"/>
          <w:szCs w:val="24"/>
        </w:rPr>
        <w:t xml:space="preserve"> diagnostic medical devices and must be CE-marked (Regulation (EU) 2017/746).</w:t>
      </w:r>
      <w:r w:rsidRPr="00A51A32">
        <w:rPr>
          <w:sz w:val="24"/>
          <w:szCs w:val="24"/>
        </w:rPr>
        <w:t xml:space="preserve"> Therefore infectious disease marker testing of blood donors must also be carried out using CE-marked testing kits where appropriate. </w:t>
      </w:r>
    </w:p>
    <w:p w14:paraId="5EE4FA66" w14:textId="77777777" w:rsidR="00E720E7" w:rsidRPr="00A51A32" w:rsidRDefault="00E720E7" w:rsidP="00E720E7">
      <w:pPr>
        <w:jc w:val="both"/>
        <w:rPr>
          <w:rFonts w:eastAsia="Times New Roman" w:cstheme="minorHAnsi"/>
          <w:sz w:val="24"/>
          <w:szCs w:val="24"/>
          <w:u w:val="single"/>
          <w:lang w:eastAsia="fi-FI"/>
        </w:rPr>
      </w:pPr>
      <w:r w:rsidRPr="00A51A32">
        <w:rPr>
          <w:rFonts w:eastAsia="Times New Roman" w:cstheme="minorHAnsi"/>
          <w:sz w:val="24"/>
          <w:szCs w:val="24"/>
          <w:lang w:eastAsia="fi-FI"/>
        </w:rPr>
        <w:t xml:space="preserve">In-house assays may be used for donor </w:t>
      </w:r>
      <w:r w:rsidRPr="00A51A32">
        <w:rPr>
          <w:sz w:val="24"/>
          <w:szCs w:val="24"/>
        </w:rPr>
        <w:t>infectious disease marker testing</w:t>
      </w:r>
      <w:r w:rsidRPr="00A51A32">
        <w:rPr>
          <w:rFonts w:eastAsia="Times New Roman" w:cstheme="minorHAnsi"/>
          <w:sz w:val="24"/>
          <w:szCs w:val="24"/>
          <w:lang w:eastAsia="fi-FI"/>
        </w:rPr>
        <w:t xml:space="preserve"> only </w:t>
      </w:r>
      <w:r w:rsidRPr="00A51A32">
        <w:rPr>
          <w:rFonts w:cstheme="minorHAnsi"/>
          <w:sz w:val="24"/>
          <w:szCs w:val="24"/>
        </w:rPr>
        <w:t xml:space="preserve">if CE-marked kits are not available, for example when new pathogens emerge (see paragraph 2.3 on Additional technologies and emerging infectious agents). </w:t>
      </w:r>
    </w:p>
    <w:p w14:paraId="11670F92" w14:textId="0BFFDCD5" w:rsidR="00E720E7" w:rsidRPr="00A51A32" w:rsidRDefault="00E720E7" w:rsidP="00E720E7">
      <w:pPr>
        <w:jc w:val="both"/>
        <w:rPr>
          <w:sz w:val="24"/>
          <w:szCs w:val="24"/>
        </w:rPr>
      </w:pPr>
      <w:r w:rsidRPr="00A51A32">
        <w:rPr>
          <w:sz w:val="24"/>
          <w:szCs w:val="24"/>
        </w:rPr>
        <w:t xml:space="preserve">Test-kit assays must be suitable for the detection of the required markers in the donor types being tested (EDQM T&amp;C </w:t>
      </w:r>
      <w:r w:rsidR="0039586E">
        <w:rPr>
          <w:sz w:val="24"/>
          <w:szCs w:val="24"/>
        </w:rPr>
        <w:t>Guide</w:t>
      </w:r>
      <w:r w:rsidRPr="00A51A32">
        <w:rPr>
          <w:sz w:val="24"/>
          <w:szCs w:val="24"/>
        </w:rPr>
        <w:t xml:space="preserve">, JPAC). Typically infectious-disease marker testing kits are optimised for testing a sample from a living or deceased heart-beating donor (ie. donor after brain death) (EDQM T&amp;C </w:t>
      </w:r>
      <w:r w:rsidR="0039586E">
        <w:rPr>
          <w:sz w:val="24"/>
          <w:szCs w:val="24"/>
        </w:rPr>
        <w:t>Guide</w:t>
      </w:r>
      <w:r w:rsidRPr="00A51A32">
        <w:rPr>
          <w:sz w:val="24"/>
          <w:szCs w:val="24"/>
        </w:rPr>
        <w:t xml:space="preserve">). If there is a need for collection of post-mortem samples (from deceased non-heart beating donor), the testing kit should have been validated for this purpose by the manufacturer. Alternatively, user validation of assays for use with post-mortem samples should be undertaken (EDQM T&amp;C 2019). Additionally, </w:t>
      </w:r>
      <w:r w:rsidRPr="00A51A32">
        <w:rPr>
          <w:rFonts w:eastAsia="Times New Roman"/>
          <w:sz w:val="24"/>
          <w:szCs w:val="24"/>
          <w:lang w:eastAsia="fi-FI"/>
        </w:rPr>
        <w:t>only kits designed and validated for donor testing should be selected. Other systems, such as tests validated for diagnostic purposes only, should not be selected (WHO 2011).</w:t>
      </w:r>
    </w:p>
    <w:p w14:paraId="39CD18D3" w14:textId="39FC317F" w:rsidR="00E720E7" w:rsidRPr="00A51A32" w:rsidRDefault="00E720E7" w:rsidP="00E720E7">
      <w:pPr>
        <w:jc w:val="both"/>
        <w:rPr>
          <w:sz w:val="24"/>
          <w:szCs w:val="24"/>
        </w:rPr>
      </w:pPr>
      <w:r w:rsidRPr="00A51A32">
        <w:rPr>
          <w:sz w:val="24"/>
          <w:szCs w:val="24"/>
        </w:rPr>
        <w:t xml:space="preserve">Testing kit should be appropriate in relation to testing volumes/capacity and type of platform available. For example, EIAs, CLIAs and PAs suit to testing from relatively small to large numbers of samples and allow more objective recording and analysis of the results than rapid tests. The use of rapid tests is generally not recommended for donor testing as they are designed for testing of small numbers of samples, mainly for diagnostic purposes. Furthermore, they are performed using manual techniques; the results therefore have to be transcribed by staff and there is a lack of permanent records and traceability. In laboratories where through-put is medium to high fully </w:t>
      </w:r>
      <w:r w:rsidRPr="00A51A32">
        <w:rPr>
          <w:sz w:val="24"/>
          <w:szCs w:val="24"/>
        </w:rPr>
        <w:lastRenderedPageBreak/>
        <w:t xml:space="preserve">automated platforms with minimal user involvement (WHO 2009) and accessible donor-testing records should be preferred (WHO 2009, EDQM T&amp;C </w:t>
      </w:r>
      <w:r w:rsidR="0039586E">
        <w:rPr>
          <w:sz w:val="24"/>
          <w:szCs w:val="24"/>
        </w:rPr>
        <w:t>Guide</w:t>
      </w:r>
      <w:r w:rsidRPr="00A51A32">
        <w:rPr>
          <w:sz w:val="24"/>
          <w:szCs w:val="24"/>
        </w:rPr>
        <w:t>).</w:t>
      </w:r>
    </w:p>
    <w:p w14:paraId="72774ADB" w14:textId="32C9C866" w:rsidR="00961004" w:rsidRPr="00C23DBD" w:rsidRDefault="00E720E7" w:rsidP="00961004">
      <w:pPr>
        <w:jc w:val="both"/>
        <w:rPr>
          <w:sz w:val="24"/>
          <w:szCs w:val="24"/>
        </w:rPr>
      </w:pPr>
      <w:r w:rsidRPr="00A51A32">
        <w:rPr>
          <w:sz w:val="24"/>
          <w:szCs w:val="24"/>
        </w:rPr>
        <w:t xml:space="preserve">In selecting a specific assay for the testing of BTC donors, both clinical and analytical sensitivity and specificity should be the highest possible (WHO 2009, EDQM T&amp;C </w:t>
      </w:r>
      <w:r w:rsidR="0039586E">
        <w:rPr>
          <w:sz w:val="24"/>
          <w:szCs w:val="24"/>
        </w:rPr>
        <w:t>Guide</w:t>
      </w:r>
      <w:r w:rsidRPr="00A51A32">
        <w:rPr>
          <w:sz w:val="24"/>
          <w:szCs w:val="24"/>
        </w:rPr>
        <w:t>). High sensitivity ensures identification of infection and high specificity decreases rates of biological false positives which could result in the wastage of donations and unnecessary deferral of donors</w:t>
      </w:r>
      <w:r w:rsidR="000F6A25">
        <w:rPr>
          <w:sz w:val="24"/>
          <w:szCs w:val="24"/>
        </w:rPr>
        <w:t xml:space="preserve"> </w:t>
      </w:r>
      <w:r w:rsidRPr="00A51A32">
        <w:rPr>
          <w:sz w:val="24"/>
          <w:szCs w:val="24"/>
        </w:rPr>
        <w:t>(WHO 2009).</w:t>
      </w:r>
    </w:p>
    <w:p w14:paraId="0DBF08FE" w14:textId="4C5C32D8" w:rsidR="006146BE" w:rsidRPr="006146BE" w:rsidRDefault="00BE3ED7" w:rsidP="009A297D">
      <w:pPr>
        <w:pStyle w:val="Heading2"/>
        <w:numPr>
          <w:ilvl w:val="1"/>
          <w:numId w:val="15"/>
        </w:numPr>
      </w:pPr>
      <w:bookmarkStart w:id="15" w:name="_Toc41427154"/>
      <w:r>
        <w:t xml:space="preserve">Validation </w:t>
      </w:r>
      <w:r w:rsidR="00A76E93" w:rsidRPr="00A76E93">
        <w:t>of donor infectious marker testing kits and other methods</w:t>
      </w:r>
      <w:bookmarkEnd w:id="15"/>
    </w:p>
    <w:p w14:paraId="34A838F5" w14:textId="40BDCA75" w:rsidR="00E720E7" w:rsidRPr="00CD5B4F" w:rsidRDefault="00E720E7" w:rsidP="00CD5B4F">
      <w:pPr>
        <w:jc w:val="both"/>
        <w:rPr>
          <w:sz w:val="24"/>
          <w:szCs w:val="24"/>
        </w:rPr>
      </w:pPr>
      <w:r w:rsidRPr="00CD5B4F">
        <w:rPr>
          <w:sz w:val="24"/>
          <w:szCs w:val="24"/>
        </w:rPr>
        <w:t xml:space="preserve">Tissue and cell donor infectious marker testing kits and other types of donor testing assays must be validated for the purpose in accordance with current scientific knowledge (2006/17/EC). Furthermore, all testing procedures related to blood donor testing must be validated before use (Directive 2005/62/EC/Annex 6.3.1). </w:t>
      </w:r>
    </w:p>
    <w:p w14:paraId="349DCFD1" w14:textId="2CCC169A" w:rsidR="00E720E7" w:rsidRDefault="00E720E7" w:rsidP="00CD5B4F">
      <w:pPr>
        <w:jc w:val="both"/>
        <w:rPr>
          <w:sz w:val="24"/>
          <w:szCs w:val="24"/>
        </w:rPr>
      </w:pPr>
      <w:r w:rsidRPr="00CD5B4F">
        <w:rPr>
          <w:sz w:val="24"/>
          <w:szCs w:val="24"/>
        </w:rPr>
        <w:t xml:space="preserve">All CE-marked donor infectious disease marker testing kits have undergone </w:t>
      </w:r>
      <w:r w:rsidRPr="00CD5B4F">
        <w:rPr>
          <w:rFonts w:eastAsia="Times New Roman"/>
          <w:sz w:val="24"/>
          <w:szCs w:val="24"/>
          <w:lang w:eastAsia="fi-FI"/>
        </w:rPr>
        <w:t>assay performance (see section 2.3.) evaluation and validation firstly by manufacturers and secondly by t</w:t>
      </w:r>
      <w:r w:rsidRPr="00CD5B4F">
        <w:rPr>
          <w:sz w:val="24"/>
          <w:szCs w:val="24"/>
        </w:rPr>
        <w:t>he European Union reference laboratory(ies) designated by the Commission (Regulation (EU) 2017/746). Therefore, only an on-site validation of the CE-marked donor infectious disease marker testing kit is required prior to its routine use in the laboratory (</w:t>
      </w:r>
      <w:r w:rsidRPr="00CD5B4F">
        <w:rPr>
          <w:rFonts w:eastAsia="Times New Roman"/>
          <w:sz w:val="24"/>
          <w:szCs w:val="24"/>
          <w:lang w:eastAsia="fi-FI"/>
        </w:rPr>
        <w:t xml:space="preserve">WHO 2011, </w:t>
      </w:r>
      <w:r w:rsidRPr="00CD5B4F">
        <w:rPr>
          <w:sz w:val="24"/>
          <w:szCs w:val="24"/>
        </w:rPr>
        <w:t>EDQM GPG Blood 6.3.3.). On-site validation should demonstrate</w:t>
      </w:r>
      <w:r w:rsidR="00CB44E2" w:rsidRPr="00CD5B4F">
        <w:rPr>
          <w:sz w:val="24"/>
          <w:szCs w:val="24"/>
        </w:rPr>
        <w:t>,</w:t>
      </w:r>
      <w:r w:rsidRPr="00CD5B4F">
        <w:rPr>
          <w:sz w:val="24"/>
          <w:szCs w:val="24"/>
        </w:rPr>
        <w:t xml:space="preserve"> in addition to qualification</w:t>
      </w:r>
      <w:r w:rsidR="00CB44E2" w:rsidRPr="00CD5B4F">
        <w:rPr>
          <w:sz w:val="24"/>
          <w:szCs w:val="24"/>
        </w:rPr>
        <w:t xml:space="preserve">, </w:t>
      </w:r>
      <w:r w:rsidRPr="00CD5B4F">
        <w:rPr>
          <w:sz w:val="24"/>
          <w:szCs w:val="24"/>
        </w:rPr>
        <w:t>that the performance specifications of the assay established by the kit manufacturer are met in the laboratory (WHO 2011, EDQM GPG Blood 6.3.3.).</w:t>
      </w:r>
    </w:p>
    <w:p w14:paraId="678A01A9" w14:textId="77777777" w:rsidR="006D2496" w:rsidRPr="006D2496" w:rsidRDefault="006D2496" w:rsidP="006D2496">
      <w:pPr>
        <w:spacing w:after="0" w:line="240" w:lineRule="auto"/>
        <w:jc w:val="both"/>
        <w:rPr>
          <w:rFonts w:eastAsia="Times New Roman"/>
          <w:sz w:val="24"/>
          <w:szCs w:val="24"/>
          <w:lang w:eastAsia="fi-FI"/>
        </w:rPr>
      </w:pPr>
      <w:r w:rsidRPr="006D2496">
        <w:rPr>
          <w:rFonts w:eastAsia="Times New Roman"/>
          <w:sz w:val="24"/>
          <w:szCs w:val="24"/>
          <w:lang w:eastAsia="fi-FI"/>
        </w:rPr>
        <w:t>Additionally, it is strongly recommended for donor testing laboratories to demonstrate that on routine application of kits/assays the performance specifications are constantly maintained (WHO 2011). The means by which this could be demonstrated are for example:</w:t>
      </w:r>
    </w:p>
    <w:p w14:paraId="346EAA27" w14:textId="77777777" w:rsidR="006D2496" w:rsidRPr="006D2496" w:rsidRDefault="006D2496" w:rsidP="009A297D">
      <w:pPr>
        <w:pStyle w:val="ListParagraph"/>
        <w:numPr>
          <w:ilvl w:val="0"/>
          <w:numId w:val="7"/>
        </w:numPr>
        <w:jc w:val="both"/>
        <w:rPr>
          <w:sz w:val="24"/>
          <w:szCs w:val="24"/>
        </w:rPr>
      </w:pPr>
      <w:r w:rsidRPr="006D2496">
        <w:rPr>
          <w:rFonts w:eastAsia="Times New Roman"/>
          <w:sz w:val="24"/>
          <w:szCs w:val="24"/>
          <w:lang w:eastAsia="fi-FI"/>
        </w:rPr>
        <w:t>A</w:t>
      </w:r>
      <w:r w:rsidRPr="006D2496">
        <w:rPr>
          <w:sz w:val="24"/>
          <w:szCs w:val="24"/>
        </w:rPr>
        <w:t xml:space="preserve">ppropriate reactivity with manufacturers’ </w:t>
      </w:r>
      <w:r w:rsidRPr="006D2496">
        <w:rPr>
          <w:rFonts w:eastAsia="Times New Roman"/>
          <w:sz w:val="24"/>
          <w:szCs w:val="24"/>
          <w:lang w:eastAsia="fi-FI"/>
        </w:rPr>
        <w:t xml:space="preserve">and any internal and external quality control materials with every series of tests </w:t>
      </w:r>
      <w:r w:rsidRPr="006D2496">
        <w:rPr>
          <w:sz w:val="24"/>
          <w:szCs w:val="24"/>
        </w:rPr>
        <w:t>(WHO 2011, JPAC);</w:t>
      </w:r>
    </w:p>
    <w:p w14:paraId="14827A61" w14:textId="77777777" w:rsidR="006D2496" w:rsidRPr="006D2496" w:rsidRDefault="006D2496" w:rsidP="009A297D">
      <w:pPr>
        <w:pStyle w:val="ListParagraph"/>
        <w:numPr>
          <w:ilvl w:val="0"/>
          <w:numId w:val="7"/>
        </w:numPr>
        <w:jc w:val="both"/>
        <w:rPr>
          <w:sz w:val="24"/>
          <w:szCs w:val="24"/>
        </w:rPr>
      </w:pPr>
      <w:r w:rsidRPr="006D2496">
        <w:rPr>
          <w:rFonts w:eastAsia="Times New Roman"/>
          <w:sz w:val="24"/>
          <w:szCs w:val="24"/>
          <w:lang w:eastAsia="fi-FI"/>
        </w:rPr>
        <w:t xml:space="preserve">statistically monitoring trends in control measurements on defined control material </w:t>
      </w:r>
      <w:r w:rsidRPr="006D2496">
        <w:rPr>
          <w:sz w:val="24"/>
          <w:szCs w:val="24"/>
        </w:rPr>
        <w:t>(WHO 2011, JPAC)</w:t>
      </w:r>
      <w:r w:rsidRPr="006D2496">
        <w:rPr>
          <w:rFonts w:eastAsia="Times New Roman"/>
          <w:sz w:val="24"/>
          <w:szCs w:val="24"/>
          <w:lang w:eastAsia="fi-FI"/>
        </w:rPr>
        <w:t>;</w:t>
      </w:r>
    </w:p>
    <w:p w14:paraId="253A6356" w14:textId="254E0F1D" w:rsidR="00E720E7" w:rsidRPr="006D2496" w:rsidRDefault="006D2496" w:rsidP="009A297D">
      <w:pPr>
        <w:pStyle w:val="ListParagraph"/>
        <w:numPr>
          <w:ilvl w:val="0"/>
          <w:numId w:val="7"/>
        </w:numPr>
        <w:spacing w:after="0" w:line="240" w:lineRule="auto"/>
        <w:jc w:val="both"/>
        <w:rPr>
          <w:rFonts w:eastAsia="Times New Roman"/>
          <w:sz w:val="24"/>
          <w:szCs w:val="24"/>
          <w:lang w:eastAsia="fi-FI"/>
        </w:rPr>
      </w:pPr>
      <w:r w:rsidRPr="006D2496">
        <w:rPr>
          <w:rFonts w:eastAsia="Times New Roman"/>
          <w:sz w:val="24"/>
          <w:szCs w:val="24"/>
          <w:lang w:eastAsia="fi-FI"/>
        </w:rPr>
        <w:t xml:space="preserve">successful participation in external quality assessment schemes </w:t>
      </w:r>
      <w:r w:rsidRPr="00962E3B">
        <w:rPr>
          <w:rFonts w:eastAsia="Times New Roman"/>
          <w:sz w:val="24"/>
          <w:szCs w:val="24"/>
          <w:lang w:eastAsia="fi-FI"/>
        </w:rPr>
        <w:t>(proficiency testing)</w:t>
      </w:r>
      <w:r w:rsidRPr="006D2496">
        <w:rPr>
          <w:rFonts w:eastAsia="Times New Roman"/>
          <w:sz w:val="24"/>
          <w:szCs w:val="24"/>
          <w:lang w:eastAsia="fi-FI"/>
        </w:rPr>
        <w:t xml:space="preserve"> by all qualified members of staff (WHO 2011</w:t>
      </w:r>
      <w:r w:rsidR="008E5420">
        <w:rPr>
          <w:rFonts w:eastAsia="Times New Roman"/>
          <w:sz w:val="24"/>
          <w:szCs w:val="24"/>
          <w:lang w:eastAsia="fi-FI"/>
        </w:rPr>
        <w:t xml:space="preserve">, </w:t>
      </w:r>
      <w:r w:rsidR="008E5420" w:rsidRPr="008E5420">
        <w:rPr>
          <w:rFonts w:eastAsia="Times New Roman"/>
          <w:sz w:val="24"/>
          <w:szCs w:val="24"/>
          <w:lang w:eastAsia="fi-FI"/>
        </w:rPr>
        <w:t>Blood directive 2005/62, Annex, 6.3</w:t>
      </w:r>
      <w:r w:rsidR="008E5420">
        <w:rPr>
          <w:rFonts w:eastAsia="Times New Roman"/>
          <w:sz w:val="24"/>
          <w:szCs w:val="24"/>
          <w:lang w:eastAsia="fi-FI"/>
        </w:rPr>
        <w:t>.5.</w:t>
      </w:r>
      <w:r w:rsidRPr="006D2496">
        <w:rPr>
          <w:rFonts w:eastAsia="Times New Roman"/>
          <w:sz w:val="24"/>
          <w:szCs w:val="24"/>
          <w:lang w:eastAsia="fi-FI"/>
        </w:rPr>
        <w:t>).</w:t>
      </w:r>
    </w:p>
    <w:p w14:paraId="3D3AB2E0" w14:textId="77777777" w:rsidR="006D2496" w:rsidRPr="006D2496" w:rsidRDefault="006D2496" w:rsidP="006D2496">
      <w:pPr>
        <w:spacing w:after="0" w:line="240" w:lineRule="auto"/>
        <w:jc w:val="both"/>
        <w:rPr>
          <w:rFonts w:eastAsia="Times New Roman"/>
          <w:color w:val="FF0000"/>
          <w:sz w:val="24"/>
          <w:szCs w:val="24"/>
          <w:lang w:eastAsia="fi-FI"/>
        </w:rPr>
      </w:pPr>
    </w:p>
    <w:p w14:paraId="1700F400" w14:textId="7FF5EB68" w:rsidR="00E720E7" w:rsidRPr="00CD5B4F" w:rsidRDefault="00E720E7" w:rsidP="00CD5B4F">
      <w:pPr>
        <w:jc w:val="both"/>
        <w:rPr>
          <w:rFonts w:eastAsia="Times New Roman"/>
          <w:sz w:val="24"/>
          <w:szCs w:val="24"/>
          <w:lang w:eastAsia="fi-FI"/>
        </w:rPr>
      </w:pPr>
      <w:r w:rsidRPr="00CD5B4F">
        <w:rPr>
          <w:sz w:val="24"/>
          <w:szCs w:val="24"/>
        </w:rPr>
        <w:t>When the donor testing laboratory intends to use in-house kits/assays instead of CE-marked kits their performance must be validated by the laboratory itself before</w:t>
      </w:r>
      <w:r w:rsidRPr="00CD5B4F">
        <w:rPr>
          <w:rFonts w:eastAsia="Times New Roman"/>
          <w:sz w:val="24"/>
          <w:szCs w:val="24"/>
          <w:lang w:eastAsia="fi-FI"/>
        </w:rPr>
        <w:t xml:space="preserve"> implementing a test system for routine analysis. This means that the laboratory must demonstrate conformity with the relevant general safety and performance requirements set out in Annex I of Regulation (EU) 2017/746 which apply to it, taking into account its intended purpose. In addition to these, the several conditions as listed in the point 5 of Article 5 of Regulation (EU) 2017/746 must be met </w:t>
      </w:r>
      <w:r w:rsidRPr="00CD5B4F">
        <w:rPr>
          <w:rFonts w:eastAsia="Times New Roman"/>
          <w:sz w:val="24"/>
          <w:szCs w:val="24"/>
          <w:lang w:eastAsia="fi-FI"/>
        </w:rPr>
        <w:lastRenderedPageBreak/>
        <w:t>(e.g. manufacture and use of the assay under appropriate quality management systems, laboratory´s compliance with standard EN ISO 15189, a justification of their manufacturing, modification and use etc.).</w:t>
      </w:r>
    </w:p>
    <w:p w14:paraId="3C392AC2" w14:textId="77777777" w:rsidR="00E720E7" w:rsidRPr="00CD5B4F" w:rsidRDefault="00E720E7" w:rsidP="00CD5B4F">
      <w:pPr>
        <w:jc w:val="both"/>
        <w:rPr>
          <w:sz w:val="24"/>
          <w:szCs w:val="24"/>
        </w:rPr>
      </w:pPr>
      <w:r w:rsidRPr="00CD5B4F">
        <w:rPr>
          <w:sz w:val="24"/>
          <w:szCs w:val="24"/>
        </w:rPr>
        <w:t>User validation of assays for use with post-mortem samples should be undertaken considering the current EDQM guidance (e.g. Example of validation of screening: infectious disease assays of blood from deceased donors in Appendix 19 of the EDQM T&amp;C guide 2019).</w:t>
      </w:r>
    </w:p>
    <w:p w14:paraId="43147580" w14:textId="5D245E6C" w:rsidR="00A76E93" w:rsidRDefault="00A76E93" w:rsidP="009A297D">
      <w:pPr>
        <w:pStyle w:val="Heading2"/>
        <w:numPr>
          <w:ilvl w:val="1"/>
          <w:numId w:val="15"/>
        </w:numPr>
      </w:pPr>
      <w:bookmarkStart w:id="16" w:name="_Toc41427155"/>
      <w:r>
        <w:t xml:space="preserve">Performance </w:t>
      </w:r>
      <w:r w:rsidRPr="006146BE">
        <w:t xml:space="preserve">of </w:t>
      </w:r>
      <w:r>
        <w:t xml:space="preserve">donor </w:t>
      </w:r>
      <w:r w:rsidRPr="00D86570">
        <w:t>infectious</w:t>
      </w:r>
      <w:r>
        <w:t xml:space="preserve"> marker test</w:t>
      </w:r>
      <w:r w:rsidRPr="006146BE">
        <w:t>ing kits</w:t>
      </w:r>
      <w:r>
        <w:t xml:space="preserve"> and other methods</w:t>
      </w:r>
      <w:bookmarkEnd w:id="16"/>
    </w:p>
    <w:p w14:paraId="083C2A17" w14:textId="5EFC081C" w:rsidR="00CD5B4F" w:rsidRPr="00CD5B4F" w:rsidRDefault="00CD5B4F" w:rsidP="00CD5B4F">
      <w:pPr>
        <w:jc w:val="both"/>
        <w:rPr>
          <w:sz w:val="24"/>
          <w:szCs w:val="24"/>
        </w:rPr>
      </w:pPr>
      <w:r w:rsidRPr="00CD5B4F">
        <w:rPr>
          <w:sz w:val="24"/>
          <w:szCs w:val="24"/>
        </w:rPr>
        <w:t>Performance of a donor infectious marker testing kits and assays means the ability of a kit or other methods to achieve its intended purpose as claimed by the manufacturer. It consists of the analytical and the clinical performance (Regulation (EU) 2017/746). The analytical performance means the ability of a donor testing kit/assay</w:t>
      </w:r>
      <w:r w:rsidR="00962E3B">
        <w:rPr>
          <w:sz w:val="24"/>
          <w:szCs w:val="24"/>
        </w:rPr>
        <w:t xml:space="preserve"> </w:t>
      </w:r>
      <w:r w:rsidRPr="00CD5B4F">
        <w:rPr>
          <w:sz w:val="24"/>
          <w:szCs w:val="24"/>
        </w:rPr>
        <w:t xml:space="preserve">to correctly </w:t>
      </w:r>
      <w:r w:rsidR="00D13EF8">
        <w:rPr>
          <w:sz w:val="24"/>
          <w:szCs w:val="24"/>
        </w:rPr>
        <w:t>detect a particular analyte (ada</w:t>
      </w:r>
      <w:r w:rsidRPr="00CD5B4F">
        <w:rPr>
          <w:sz w:val="24"/>
          <w:szCs w:val="24"/>
        </w:rPr>
        <w:t>pted from Regulation (EU) 2017/746). Characteristics describing the analytical performance are such as</w:t>
      </w:r>
      <w:r w:rsidR="0009271A">
        <w:rPr>
          <w:sz w:val="24"/>
          <w:szCs w:val="24"/>
        </w:rPr>
        <w:t xml:space="preserve"> (</w:t>
      </w:r>
      <w:r w:rsidR="00592C6F">
        <w:rPr>
          <w:sz w:val="24"/>
          <w:szCs w:val="24"/>
        </w:rPr>
        <w:t xml:space="preserve">Regulation EU/2017/746 </w:t>
      </w:r>
      <w:r w:rsidR="00592C6F" w:rsidRPr="0009271A">
        <w:rPr>
          <w:sz w:val="24"/>
          <w:szCs w:val="24"/>
        </w:rPr>
        <w:t>An</w:t>
      </w:r>
      <w:r w:rsidR="00592C6F">
        <w:rPr>
          <w:sz w:val="24"/>
          <w:szCs w:val="24"/>
        </w:rPr>
        <w:t>nex I</w:t>
      </w:r>
      <w:r w:rsidR="00592C6F" w:rsidRPr="0009271A">
        <w:rPr>
          <w:sz w:val="24"/>
          <w:szCs w:val="24"/>
        </w:rPr>
        <w:t xml:space="preserve"> </w:t>
      </w:r>
      <w:r w:rsidR="00592C6F">
        <w:rPr>
          <w:sz w:val="24"/>
          <w:szCs w:val="24"/>
        </w:rPr>
        <w:t>chapter II</w:t>
      </w:r>
      <w:r w:rsidR="0009271A">
        <w:rPr>
          <w:sz w:val="24"/>
          <w:szCs w:val="24"/>
        </w:rPr>
        <w:t>;</w:t>
      </w:r>
      <w:r w:rsidR="0009271A" w:rsidRPr="0009271A">
        <w:rPr>
          <w:sz w:val="24"/>
          <w:szCs w:val="24"/>
        </w:rPr>
        <w:t xml:space="preserve"> WHO 2011)</w:t>
      </w:r>
      <w:r w:rsidRPr="00CD5B4F">
        <w:rPr>
          <w:sz w:val="24"/>
          <w:szCs w:val="24"/>
        </w:rPr>
        <w:t>:</w:t>
      </w:r>
    </w:p>
    <w:p w14:paraId="07275BFF" w14:textId="31EA7605" w:rsidR="00CD5B4F" w:rsidRPr="0009271A" w:rsidRDefault="0039586E" w:rsidP="009A297D">
      <w:pPr>
        <w:pStyle w:val="ListParagraph"/>
        <w:numPr>
          <w:ilvl w:val="0"/>
          <w:numId w:val="8"/>
        </w:numPr>
        <w:jc w:val="both"/>
        <w:rPr>
          <w:sz w:val="24"/>
          <w:szCs w:val="24"/>
        </w:rPr>
      </w:pPr>
      <w:r>
        <w:rPr>
          <w:sz w:val="24"/>
          <w:szCs w:val="24"/>
        </w:rPr>
        <w:t>analytical sensitivity</w:t>
      </w:r>
      <w:r w:rsidR="00CD5B4F" w:rsidRPr="0009271A">
        <w:rPr>
          <w:sz w:val="24"/>
          <w:szCs w:val="24"/>
        </w:rPr>
        <w:t>;</w:t>
      </w:r>
    </w:p>
    <w:p w14:paraId="0C00FC7D" w14:textId="77777777" w:rsidR="00CD5B4F" w:rsidRPr="0009271A" w:rsidRDefault="00CD5B4F" w:rsidP="009A297D">
      <w:pPr>
        <w:pStyle w:val="ListParagraph"/>
        <w:numPr>
          <w:ilvl w:val="0"/>
          <w:numId w:val="8"/>
        </w:numPr>
        <w:jc w:val="both"/>
        <w:rPr>
          <w:sz w:val="24"/>
          <w:szCs w:val="24"/>
        </w:rPr>
      </w:pPr>
      <w:r w:rsidRPr="0009271A">
        <w:rPr>
          <w:sz w:val="24"/>
          <w:szCs w:val="24"/>
        </w:rPr>
        <w:t>analytical specificity;</w:t>
      </w:r>
    </w:p>
    <w:p w14:paraId="1CE2F964" w14:textId="77777777" w:rsidR="00CD5B4F" w:rsidRPr="0009271A" w:rsidRDefault="00CD5B4F" w:rsidP="009A297D">
      <w:pPr>
        <w:pStyle w:val="ListParagraph"/>
        <w:numPr>
          <w:ilvl w:val="0"/>
          <w:numId w:val="8"/>
        </w:numPr>
        <w:jc w:val="both"/>
        <w:rPr>
          <w:sz w:val="24"/>
          <w:szCs w:val="24"/>
        </w:rPr>
      </w:pPr>
      <w:r w:rsidRPr="0009271A">
        <w:rPr>
          <w:sz w:val="24"/>
          <w:szCs w:val="24"/>
        </w:rPr>
        <w:t>trueness (bias);</w:t>
      </w:r>
    </w:p>
    <w:p w14:paraId="4A862AB9" w14:textId="63DC55F5" w:rsidR="00CD5B4F" w:rsidRPr="0009271A" w:rsidRDefault="009E2613" w:rsidP="009A297D">
      <w:pPr>
        <w:pStyle w:val="ListParagraph"/>
        <w:numPr>
          <w:ilvl w:val="0"/>
          <w:numId w:val="8"/>
        </w:numPr>
        <w:jc w:val="both"/>
        <w:rPr>
          <w:sz w:val="24"/>
          <w:szCs w:val="24"/>
        </w:rPr>
      </w:pPr>
      <w:r>
        <w:rPr>
          <w:sz w:val="24"/>
          <w:szCs w:val="24"/>
        </w:rPr>
        <w:t>precision</w:t>
      </w:r>
    </w:p>
    <w:p w14:paraId="1821DA4B" w14:textId="23ECB29B" w:rsidR="00CD5B4F" w:rsidRPr="0009271A" w:rsidRDefault="00CD5B4F" w:rsidP="009A297D">
      <w:pPr>
        <w:pStyle w:val="ListParagraph"/>
        <w:numPr>
          <w:ilvl w:val="1"/>
          <w:numId w:val="8"/>
        </w:numPr>
        <w:jc w:val="both"/>
        <w:rPr>
          <w:sz w:val="24"/>
          <w:szCs w:val="24"/>
        </w:rPr>
      </w:pPr>
      <w:r w:rsidRPr="0009271A">
        <w:rPr>
          <w:sz w:val="24"/>
          <w:szCs w:val="24"/>
        </w:rPr>
        <w:t xml:space="preserve">repeatability </w:t>
      </w:r>
      <w:r w:rsidRPr="0009271A">
        <w:rPr>
          <w:rFonts w:eastAsia="Times New Roman"/>
          <w:sz w:val="24"/>
          <w:szCs w:val="24"/>
          <w:lang w:eastAsia="fi-FI"/>
        </w:rPr>
        <w:t>(replicates of series)</w:t>
      </w:r>
      <w:r w:rsidR="009E2613">
        <w:rPr>
          <w:rFonts w:eastAsia="Times New Roman"/>
          <w:sz w:val="24"/>
          <w:szCs w:val="24"/>
          <w:lang w:eastAsia="fi-FI"/>
        </w:rPr>
        <w:t>;</w:t>
      </w:r>
    </w:p>
    <w:p w14:paraId="65C035FA" w14:textId="3CC514FE" w:rsidR="00CD5B4F" w:rsidRPr="0009271A" w:rsidRDefault="00CD5B4F" w:rsidP="009A297D">
      <w:pPr>
        <w:pStyle w:val="ListParagraph"/>
        <w:numPr>
          <w:ilvl w:val="1"/>
          <w:numId w:val="8"/>
        </w:numPr>
        <w:jc w:val="both"/>
        <w:rPr>
          <w:sz w:val="24"/>
          <w:szCs w:val="24"/>
        </w:rPr>
      </w:pPr>
      <w:r w:rsidRPr="0009271A">
        <w:rPr>
          <w:sz w:val="24"/>
          <w:szCs w:val="24"/>
        </w:rPr>
        <w:t xml:space="preserve">reproducibility </w:t>
      </w:r>
      <w:r w:rsidRPr="0009271A">
        <w:rPr>
          <w:rFonts w:eastAsia="Times New Roman"/>
          <w:sz w:val="24"/>
          <w:szCs w:val="24"/>
          <w:lang w:eastAsia="fi-FI"/>
        </w:rPr>
        <w:t>(replicates of series, variation by operator, by day or by lot of reagents)</w:t>
      </w:r>
      <w:r w:rsidR="009E2613">
        <w:rPr>
          <w:rFonts w:eastAsia="Times New Roman"/>
          <w:sz w:val="24"/>
          <w:szCs w:val="24"/>
          <w:lang w:eastAsia="fi-FI"/>
        </w:rPr>
        <w:t>;</w:t>
      </w:r>
    </w:p>
    <w:p w14:paraId="19E3A3A5" w14:textId="77777777" w:rsidR="00CD5B4F" w:rsidRPr="0009271A" w:rsidRDefault="00CD5B4F" w:rsidP="009A297D">
      <w:pPr>
        <w:pStyle w:val="ListParagraph"/>
        <w:numPr>
          <w:ilvl w:val="0"/>
          <w:numId w:val="8"/>
        </w:numPr>
        <w:jc w:val="both"/>
        <w:rPr>
          <w:sz w:val="24"/>
          <w:szCs w:val="24"/>
        </w:rPr>
      </w:pPr>
      <w:r w:rsidRPr="0009271A">
        <w:rPr>
          <w:sz w:val="24"/>
          <w:szCs w:val="24"/>
        </w:rPr>
        <w:t>accuracy (</w:t>
      </w:r>
      <w:r w:rsidRPr="0009271A">
        <w:rPr>
          <w:rFonts w:eastAsia="Times New Roman"/>
          <w:sz w:val="24"/>
          <w:szCs w:val="24"/>
          <w:lang w:eastAsia="fi-FI"/>
        </w:rPr>
        <w:t>degree of closeness of measurements to the true value,</w:t>
      </w:r>
      <w:r w:rsidRPr="0009271A">
        <w:rPr>
          <w:sz w:val="24"/>
          <w:szCs w:val="24"/>
        </w:rPr>
        <w:t xml:space="preserve"> resulting from trueness and precision);</w:t>
      </w:r>
    </w:p>
    <w:p w14:paraId="4D09B307" w14:textId="77777777" w:rsidR="00CD5B4F" w:rsidRPr="0009271A" w:rsidRDefault="00CD5B4F" w:rsidP="009A297D">
      <w:pPr>
        <w:pStyle w:val="ListParagraph"/>
        <w:numPr>
          <w:ilvl w:val="0"/>
          <w:numId w:val="8"/>
        </w:numPr>
        <w:jc w:val="both"/>
        <w:rPr>
          <w:sz w:val="24"/>
          <w:szCs w:val="24"/>
        </w:rPr>
      </w:pPr>
      <w:r w:rsidRPr="0009271A">
        <w:rPr>
          <w:sz w:val="24"/>
          <w:szCs w:val="24"/>
        </w:rPr>
        <w:t xml:space="preserve">lower and upper limits of detection </w:t>
      </w:r>
      <w:r w:rsidRPr="0009271A">
        <w:rPr>
          <w:rFonts w:eastAsia="Times New Roman"/>
          <w:sz w:val="24"/>
          <w:szCs w:val="24"/>
          <w:lang w:eastAsia="fi-FI"/>
        </w:rPr>
        <w:t xml:space="preserve">(serial dilution) </w:t>
      </w:r>
      <w:r w:rsidRPr="0009271A">
        <w:rPr>
          <w:sz w:val="24"/>
          <w:szCs w:val="24"/>
        </w:rPr>
        <w:t>and quantitation;</w:t>
      </w:r>
    </w:p>
    <w:p w14:paraId="3DBEA402" w14:textId="24C57F99" w:rsidR="00CD5B4F" w:rsidRPr="0009271A" w:rsidRDefault="00CD5B4F" w:rsidP="009A297D">
      <w:pPr>
        <w:pStyle w:val="ListParagraph"/>
        <w:numPr>
          <w:ilvl w:val="0"/>
          <w:numId w:val="8"/>
        </w:numPr>
        <w:jc w:val="both"/>
        <w:rPr>
          <w:sz w:val="24"/>
          <w:szCs w:val="24"/>
        </w:rPr>
      </w:pPr>
      <w:r w:rsidRPr="0009271A">
        <w:rPr>
          <w:sz w:val="24"/>
          <w:szCs w:val="24"/>
        </w:rPr>
        <w:t>determination of appropriate criteria for specimen collection and handling</w:t>
      </w:r>
      <w:r w:rsidR="009E2613">
        <w:rPr>
          <w:sz w:val="24"/>
          <w:szCs w:val="24"/>
        </w:rPr>
        <w:t>;</w:t>
      </w:r>
    </w:p>
    <w:p w14:paraId="55A6B6F8" w14:textId="1436B23E" w:rsidR="00CD5B4F" w:rsidRPr="00CD5B4F" w:rsidRDefault="00CD5B4F" w:rsidP="009A297D">
      <w:pPr>
        <w:pStyle w:val="ListParagraph"/>
        <w:numPr>
          <w:ilvl w:val="0"/>
          <w:numId w:val="8"/>
        </w:numPr>
        <w:jc w:val="both"/>
        <w:rPr>
          <w:sz w:val="24"/>
          <w:szCs w:val="24"/>
        </w:rPr>
      </w:pPr>
      <w:r w:rsidRPr="0009271A">
        <w:rPr>
          <w:sz w:val="24"/>
          <w:szCs w:val="24"/>
        </w:rPr>
        <w:t>control of known relevant endogenous and exogenous interference</w:t>
      </w:r>
      <w:r w:rsidRPr="00CD5B4F">
        <w:rPr>
          <w:sz w:val="24"/>
          <w:szCs w:val="24"/>
        </w:rPr>
        <w:t xml:space="preserve"> </w:t>
      </w:r>
      <w:r w:rsidRPr="00CD5B4F">
        <w:rPr>
          <w:rFonts w:eastAsia="Times New Roman"/>
          <w:sz w:val="24"/>
          <w:szCs w:val="24"/>
          <w:lang w:eastAsia="fi-FI"/>
        </w:rPr>
        <w:t>(e.g. haemolytic sera, lipemic sera)</w:t>
      </w:r>
      <w:r w:rsidR="009E2613">
        <w:rPr>
          <w:rFonts w:eastAsia="Times New Roman"/>
          <w:sz w:val="24"/>
          <w:szCs w:val="24"/>
          <w:lang w:eastAsia="fi-FI"/>
        </w:rPr>
        <w:t>.</w:t>
      </w:r>
    </w:p>
    <w:p w14:paraId="07753AF9" w14:textId="77777777" w:rsidR="00CD5B4F" w:rsidRPr="00CD5B4F" w:rsidRDefault="00CD5B4F" w:rsidP="00CD5B4F">
      <w:pPr>
        <w:pStyle w:val="ListParagraph"/>
        <w:spacing w:after="0" w:line="240" w:lineRule="auto"/>
        <w:jc w:val="both"/>
        <w:rPr>
          <w:rFonts w:eastAsia="Times New Roman"/>
          <w:sz w:val="24"/>
          <w:szCs w:val="24"/>
          <w:lang w:eastAsia="fi-FI"/>
        </w:rPr>
      </w:pPr>
    </w:p>
    <w:p w14:paraId="37641EC6" w14:textId="77777777" w:rsidR="00CD5B4F" w:rsidRPr="00CD5B4F" w:rsidRDefault="00CD5B4F" w:rsidP="00CD5B4F">
      <w:pPr>
        <w:jc w:val="both"/>
        <w:rPr>
          <w:sz w:val="24"/>
          <w:szCs w:val="24"/>
        </w:rPr>
      </w:pPr>
      <w:r w:rsidRPr="00CD5B4F">
        <w:rPr>
          <w:sz w:val="24"/>
          <w:szCs w:val="24"/>
        </w:rPr>
        <w:t>The clinical performance means the ability of a donor testing kit/assay to yield results that are correlated with a particular pathological state in accordance with the target population (Regulation (EU) 2017/746). Specifically characteristics of the clinical performance are such as (diagnostic) sensitivity, (diagnostic) specificity, positive predictive value, negative predictive value, likelihood ratio, and expected values in normal and affected populations (chapter II of Annex I of Regulation (EU2017/746).</w:t>
      </w:r>
    </w:p>
    <w:p w14:paraId="16FD743D" w14:textId="77777777" w:rsidR="00CD5B4F" w:rsidRPr="00CD5B4F" w:rsidRDefault="00CD5B4F" w:rsidP="00CD5B4F">
      <w:pPr>
        <w:jc w:val="both"/>
        <w:rPr>
          <w:rFonts w:eastAsia="Times New Roman"/>
          <w:sz w:val="24"/>
          <w:szCs w:val="24"/>
          <w:lang w:eastAsia="fi-FI"/>
        </w:rPr>
      </w:pPr>
      <w:r w:rsidRPr="00CD5B4F">
        <w:rPr>
          <w:sz w:val="24"/>
          <w:szCs w:val="24"/>
        </w:rPr>
        <w:t xml:space="preserve">CE-marked donor infectious marker testing kits (which have undergone a performance evaluation by a manufacturer and demonstrated conformity) meet these above mentioned </w:t>
      </w:r>
      <w:r w:rsidRPr="00CD5B4F">
        <w:rPr>
          <w:sz w:val="24"/>
          <w:szCs w:val="24"/>
        </w:rPr>
        <w:lastRenderedPageBreak/>
        <w:t xml:space="preserve">general performance requirements (Regulation (EU) 2017/746 on </w:t>
      </w:r>
      <w:r w:rsidRPr="00CD5B4F">
        <w:rPr>
          <w:i/>
          <w:sz w:val="24"/>
          <w:szCs w:val="24"/>
        </w:rPr>
        <w:t xml:space="preserve">in vitro </w:t>
      </w:r>
      <w:r w:rsidRPr="00CD5B4F">
        <w:rPr>
          <w:sz w:val="24"/>
          <w:szCs w:val="24"/>
        </w:rPr>
        <w:t>diagnostic medical devices chapter II Article 5). The above mentioned general performance requirements apply also to in-house donor testing kits/assays</w:t>
      </w:r>
      <w:r w:rsidRPr="00CD5B4F">
        <w:rPr>
          <w:rFonts w:eastAsia="Times New Roman"/>
          <w:sz w:val="24"/>
          <w:szCs w:val="24"/>
          <w:lang w:eastAsia="fi-FI"/>
        </w:rPr>
        <w:t xml:space="preserve"> and therefore they should also meet these requirements (Regulation (EU) 2017/746). </w:t>
      </w:r>
    </w:p>
    <w:p w14:paraId="146107A1" w14:textId="47D0F895" w:rsidR="00CD5B4F" w:rsidRPr="00CD5B4F" w:rsidRDefault="00CD5B4F" w:rsidP="00CD5B4F">
      <w:pPr>
        <w:jc w:val="both"/>
        <w:rPr>
          <w:sz w:val="24"/>
          <w:szCs w:val="24"/>
        </w:rPr>
      </w:pPr>
      <w:r w:rsidRPr="00CD5B4F">
        <w:rPr>
          <w:rFonts w:eastAsia="Times New Roman"/>
          <w:sz w:val="24"/>
          <w:szCs w:val="24"/>
          <w:lang w:eastAsia="fi-FI"/>
        </w:rPr>
        <w:t xml:space="preserve">In addition to general performance requirements, CE-marked donor testing kits are compliant with the common technical specifications </w:t>
      </w:r>
      <w:r w:rsidRPr="00CD5B4F">
        <w:rPr>
          <w:sz w:val="24"/>
          <w:szCs w:val="24"/>
        </w:rPr>
        <w:t xml:space="preserve">for the detection, confirmation and quantification in human specimens of markers of HIV infection (HIV 1 and 2), HTLV I </w:t>
      </w:r>
      <w:r w:rsidR="00013FD2">
        <w:rPr>
          <w:sz w:val="24"/>
          <w:szCs w:val="24"/>
        </w:rPr>
        <w:t>and II, and hepatitis B, C, D (</w:t>
      </w:r>
      <w:r w:rsidRPr="00CD5B4F">
        <w:rPr>
          <w:sz w:val="24"/>
          <w:szCs w:val="24"/>
        </w:rPr>
        <w:t>Commission decision 2009/886/EC). Specifically the requirements for sensitivity and specificity of these kits are set out in Table 1 of the Commission decision 2009/886/EC.</w:t>
      </w:r>
      <w:r w:rsidR="00193834">
        <w:rPr>
          <w:sz w:val="24"/>
          <w:szCs w:val="24"/>
        </w:rPr>
        <w:t xml:space="preserve"> </w:t>
      </w:r>
      <w:r w:rsidR="00193834" w:rsidRPr="00193834">
        <w:rPr>
          <w:sz w:val="24"/>
          <w:szCs w:val="24"/>
        </w:rPr>
        <w:t>It is recommended that the minimum evaluated (diagnostic) sensitivity and (diagnostic) specificity levels of all assays used for donor infectious disease marker testing should be as high as possible and preferably not less than 99.5% (Commission decision 2009/886/EC).</w:t>
      </w:r>
    </w:p>
    <w:p w14:paraId="677A8DBD" w14:textId="03E68FF1" w:rsidR="00961004" w:rsidRPr="00C01B44" w:rsidRDefault="00237ECF" w:rsidP="009A297D">
      <w:pPr>
        <w:pStyle w:val="Heading2"/>
        <w:numPr>
          <w:ilvl w:val="1"/>
          <w:numId w:val="15"/>
        </w:numPr>
      </w:pPr>
      <w:bookmarkStart w:id="17" w:name="_Toc41427156"/>
      <w:r>
        <w:t>Donor testing of e</w:t>
      </w:r>
      <w:r w:rsidR="00961004" w:rsidRPr="00C01B44">
        <w:t>merging infectious agent</w:t>
      </w:r>
      <w:r w:rsidR="006E127D">
        <w:t>s</w:t>
      </w:r>
      <w:bookmarkEnd w:id="17"/>
    </w:p>
    <w:p w14:paraId="62059910" w14:textId="2B8945A0" w:rsidR="00193834" w:rsidRPr="00193834" w:rsidRDefault="00193834" w:rsidP="00193834">
      <w:pPr>
        <w:jc w:val="both"/>
        <w:rPr>
          <w:sz w:val="24"/>
          <w:szCs w:val="24"/>
        </w:rPr>
      </w:pPr>
      <w:r w:rsidRPr="00193834">
        <w:rPr>
          <w:sz w:val="24"/>
          <w:szCs w:val="24"/>
        </w:rPr>
        <w:t xml:space="preserve">Newly identified infections or emerging known infectious agents in the EU include variant Creutzfeldt Jakob disease, West Nile virus (WNV), dengue, chikungunya </w:t>
      </w:r>
      <w:r w:rsidR="00013FD2">
        <w:rPr>
          <w:sz w:val="24"/>
          <w:szCs w:val="24"/>
        </w:rPr>
        <w:t>virus</w:t>
      </w:r>
      <w:r w:rsidR="00A1631C">
        <w:rPr>
          <w:sz w:val="24"/>
          <w:szCs w:val="24"/>
        </w:rPr>
        <w:t xml:space="preserve"> (CHIKV)</w:t>
      </w:r>
      <w:r w:rsidR="00013FD2">
        <w:rPr>
          <w:sz w:val="24"/>
          <w:szCs w:val="24"/>
        </w:rPr>
        <w:t>, Zika virus (ZIKV), Middle East Respiratory S</w:t>
      </w:r>
      <w:r w:rsidRPr="00193834">
        <w:rPr>
          <w:sz w:val="24"/>
          <w:szCs w:val="24"/>
        </w:rPr>
        <w:t>yndrome (MERS) and severe acute respiratory syndrome-associated virus</w:t>
      </w:r>
      <w:r w:rsidR="00A1631C">
        <w:rPr>
          <w:sz w:val="24"/>
          <w:szCs w:val="24"/>
        </w:rPr>
        <w:t>es</w:t>
      </w:r>
      <w:r w:rsidRPr="00193834">
        <w:rPr>
          <w:sz w:val="24"/>
          <w:szCs w:val="24"/>
        </w:rPr>
        <w:t xml:space="preserve"> (SARS-Cov) (EDQM T&amp;C). Most of these are transmitted through the route of transfusion and transplantation (WHO 2009, Noisakran et al 2010, Schwartz and Albert 2010, Blau et al. 2013). On the other hand, the others pose a theoretical risk of transmission, since no cases of transmission have yet been identified or proven (WHO 2009). Therefore as a precautionary principle a cautious and measured response is needed.  In the event of increasing incidence of infection, including to pandemic level, urgent actions are needed to prevent the potential effects of infection on donors and donor sufficiency, potential recipients, and BE/TE staff (WHO 2009). Thus, reliable donor infectious disease marker testing is vitally important during new epidemiological situations.</w:t>
      </w:r>
    </w:p>
    <w:p w14:paraId="0BCDF254" w14:textId="402A5132" w:rsidR="00193834" w:rsidRPr="00193834" w:rsidRDefault="00193834" w:rsidP="00193834">
      <w:pPr>
        <w:jc w:val="both"/>
        <w:rPr>
          <w:sz w:val="24"/>
          <w:szCs w:val="24"/>
        </w:rPr>
      </w:pPr>
      <w:r w:rsidRPr="00193834">
        <w:rPr>
          <w:sz w:val="24"/>
          <w:szCs w:val="24"/>
        </w:rPr>
        <w:t xml:space="preserve">In outbreak situations the actual threat to BTC safety should be properly evaluated. Moreover, the incidence and prevalence of the new infection in the general, BTC donor and patient populations should be determined. In these situations it is recommended to follow the guidance of European Commission and European Centre for Disease Prevention and Control (ECDC) on BTC donor infectious disease marker testing. CE-marked kits should be used, if available. </w:t>
      </w:r>
    </w:p>
    <w:p w14:paraId="7C8F75E6" w14:textId="48C00EEA" w:rsidR="00961004" w:rsidRPr="00193834" w:rsidRDefault="00193834" w:rsidP="00193834">
      <w:pPr>
        <w:jc w:val="both"/>
        <w:rPr>
          <w:rFonts w:eastAsia="Times New Roman"/>
          <w:sz w:val="24"/>
          <w:szCs w:val="24"/>
        </w:rPr>
      </w:pPr>
      <w:r w:rsidRPr="00193834">
        <w:rPr>
          <w:sz w:val="24"/>
          <w:szCs w:val="24"/>
        </w:rPr>
        <w:t xml:space="preserve">In-house assays developed for the detection of rare or new emergent diseases can be used when commercial CE-marked assays are not available on the market in the EU. However, they must meet the performance and validation requirements as set in Regulation (EU) 2017/746 and summarized above. </w:t>
      </w:r>
    </w:p>
    <w:p w14:paraId="49E825C9" w14:textId="094090EE" w:rsidR="00961004" w:rsidRPr="0058620A" w:rsidRDefault="00961004" w:rsidP="009A297D">
      <w:pPr>
        <w:pStyle w:val="Heading2"/>
        <w:numPr>
          <w:ilvl w:val="1"/>
          <w:numId w:val="15"/>
        </w:numPr>
      </w:pPr>
      <w:bookmarkStart w:id="18" w:name="_Toc41427157"/>
      <w:r w:rsidRPr="0058620A">
        <w:lastRenderedPageBreak/>
        <w:t xml:space="preserve">Information on </w:t>
      </w:r>
      <w:r w:rsidR="007C4935">
        <w:t xml:space="preserve">donor infectious disease marker </w:t>
      </w:r>
      <w:r w:rsidRPr="0058620A">
        <w:t>testing kits</w:t>
      </w:r>
      <w:bookmarkEnd w:id="18"/>
    </w:p>
    <w:p w14:paraId="1C2F5A03" w14:textId="7EC07ACF" w:rsidR="00193834" w:rsidRPr="00193834" w:rsidRDefault="00193834" w:rsidP="00193834">
      <w:pPr>
        <w:jc w:val="both"/>
        <w:rPr>
          <w:rFonts w:eastAsia="Times New Roman" w:cstheme="minorHAnsi"/>
          <w:sz w:val="24"/>
          <w:szCs w:val="24"/>
          <w:lang w:eastAsia="fi-FI"/>
        </w:rPr>
      </w:pPr>
      <w:r w:rsidRPr="00193834">
        <w:rPr>
          <w:rFonts w:eastAsia="Times New Roman" w:cstheme="minorHAnsi"/>
          <w:sz w:val="24"/>
          <w:szCs w:val="24"/>
          <w:lang w:eastAsia="fi-FI"/>
        </w:rPr>
        <w:t xml:space="preserve">There are MSs in the EU where the donor infectious marker testing kits are not required to be CE-marked and in contrast MSs where in-house assays are not permitted. Furthermore, the requirements for selection, validation and performance of donor infectious marker testing kits and other methods </w:t>
      </w:r>
      <w:r w:rsidR="001B39C9">
        <w:rPr>
          <w:rFonts w:eastAsia="Times New Roman" w:cstheme="minorHAnsi"/>
          <w:sz w:val="24"/>
          <w:szCs w:val="24"/>
          <w:lang w:eastAsia="fi-FI"/>
        </w:rPr>
        <w:t>are in some MSs defined within n</w:t>
      </w:r>
      <w:r w:rsidR="00E9481B">
        <w:rPr>
          <w:rFonts w:eastAsia="Times New Roman" w:cstheme="minorHAnsi"/>
          <w:sz w:val="24"/>
          <w:szCs w:val="24"/>
          <w:lang w:eastAsia="fi-FI"/>
        </w:rPr>
        <w:t>ational legislation, national g</w:t>
      </w:r>
      <w:r w:rsidRPr="00193834">
        <w:rPr>
          <w:rFonts w:eastAsia="Times New Roman" w:cstheme="minorHAnsi"/>
          <w:sz w:val="24"/>
          <w:szCs w:val="24"/>
          <w:lang w:eastAsia="fi-FI"/>
        </w:rPr>
        <w:t>uidance or testing laboratory or BE/TE procedures. For example some MSs require in-house kits/assays to be authorized prior use whereas others do not. Therefore, it would be essential to share this information, especially when BTC are exchanged or BTC recipients are moving between EU MSs. This information should be presented by the applicant as part of Preparation Process Dossier (PPD).</w:t>
      </w:r>
    </w:p>
    <w:tbl>
      <w:tblPr>
        <w:tblStyle w:val="TableGrid"/>
        <w:tblW w:w="9634" w:type="dxa"/>
        <w:tblLayout w:type="fixed"/>
        <w:tblLook w:val="04A0" w:firstRow="1" w:lastRow="0" w:firstColumn="1" w:lastColumn="0" w:noHBand="0" w:noVBand="1"/>
      </w:tblPr>
      <w:tblGrid>
        <w:gridCol w:w="1129"/>
        <w:gridCol w:w="1418"/>
        <w:gridCol w:w="1276"/>
        <w:gridCol w:w="1701"/>
        <w:gridCol w:w="1701"/>
        <w:gridCol w:w="1417"/>
        <w:gridCol w:w="992"/>
      </w:tblGrid>
      <w:tr w:rsidR="007C4935" w:rsidRPr="00B54DC6" w14:paraId="222C1A44" w14:textId="77777777" w:rsidTr="00FD7CD1">
        <w:tc>
          <w:tcPr>
            <w:tcW w:w="1129" w:type="dxa"/>
          </w:tcPr>
          <w:p w14:paraId="65861FC4" w14:textId="77777777" w:rsidR="007C4935" w:rsidRPr="00F31592" w:rsidRDefault="007C4935" w:rsidP="00FD7CD1">
            <w:pPr>
              <w:pStyle w:val="ListParagraph"/>
              <w:rPr>
                <w:sz w:val="20"/>
                <w:szCs w:val="20"/>
              </w:rPr>
            </w:pPr>
          </w:p>
        </w:tc>
        <w:tc>
          <w:tcPr>
            <w:tcW w:w="1418" w:type="dxa"/>
            <w:shd w:val="clear" w:color="auto" w:fill="auto"/>
          </w:tcPr>
          <w:p w14:paraId="657D7E70" w14:textId="77777777" w:rsidR="007C4935" w:rsidRDefault="007C4935" w:rsidP="00FD7CD1">
            <w:pPr>
              <w:rPr>
                <w:sz w:val="20"/>
                <w:szCs w:val="20"/>
              </w:rPr>
            </w:pPr>
          </w:p>
        </w:tc>
        <w:tc>
          <w:tcPr>
            <w:tcW w:w="1276" w:type="dxa"/>
            <w:shd w:val="clear" w:color="auto" w:fill="D8D8D8" w:themeFill="accent1" w:themeFillTint="33"/>
          </w:tcPr>
          <w:p w14:paraId="1A687F88" w14:textId="77777777" w:rsidR="007C4935" w:rsidRPr="00B54DC6" w:rsidRDefault="007C4935" w:rsidP="00FD7CD1">
            <w:pPr>
              <w:rPr>
                <w:sz w:val="20"/>
                <w:szCs w:val="20"/>
              </w:rPr>
            </w:pPr>
            <w:r>
              <w:rPr>
                <w:sz w:val="20"/>
                <w:szCs w:val="20"/>
              </w:rPr>
              <w:t>Requirements</w:t>
            </w:r>
          </w:p>
        </w:tc>
        <w:tc>
          <w:tcPr>
            <w:tcW w:w="1701" w:type="dxa"/>
            <w:shd w:val="clear" w:color="auto" w:fill="D8D8D8" w:themeFill="accent1" w:themeFillTint="33"/>
          </w:tcPr>
          <w:p w14:paraId="35F14D03" w14:textId="77777777" w:rsidR="007C4935" w:rsidRPr="00B54DC6" w:rsidRDefault="007C4935" w:rsidP="00FD7CD1">
            <w:pPr>
              <w:rPr>
                <w:sz w:val="20"/>
                <w:szCs w:val="20"/>
              </w:rPr>
            </w:pPr>
            <w:r>
              <w:rPr>
                <w:sz w:val="20"/>
                <w:szCs w:val="20"/>
              </w:rPr>
              <w:t>Criteria</w:t>
            </w:r>
          </w:p>
        </w:tc>
        <w:tc>
          <w:tcPr>
            <w:tcW w:w="1701" w:type="dxa"/>
            <w:shd w:val="clear" w:color="auto" w:fill="D8D8D8" w:themeFill="accent1" w:themeFillTint="33"/>
          </w:tcPr>
          <w:p w14:paraId="0524464F" w14:textId="77777777" w:rsidR="007C4935" w:rsidRDefault="007C4935" w:rsidP="00FD7CD1">
            <w:pPr>
              <w:rPr>
                <w:sz w:val="20"/>
                <w:szCs w:val="20"/>
              </w:rPr>
            </w:pPr>
            <w:r>
              <w:rPr>
                <w:sz w:val="20"/>
                <w:szCs w:val="20"/>
              </w:rPr>
              <w:t>Additional/Optional information</w:t>
            </w:r>
          </w:p>
        </w:tc>
        <w:tc>
          <w:tcPr>
            <w:tcW w:w="1417" w:type="dxa"/>
            <w:shd w:val="clear" w:color="auto" w:fill="D8D8D8" w:themeFill="accent1" w:themeFillTint="33"/>
          </w:tcPr>
          <w:p w14:paraId="5BA9EC7C" w14:textId="77777777" w:rsidR="007C4935" w:rsidRPr="00B54DC6" w:rsidRDefault="007C4935" w:rsidP="00FD7CD1">
            <w:pPr>
              <w:rPr>
                <w:sz w:val="20"/>
                <w:szCs w:val="20"/>
              </w:rPr>
            </w:pPr>
            <w:r>
              <w:rPr>
                <w:sz w:val="20"/>
                <w:szCs w:val="20"/>
              </w:rPr>
              <w:t>Specifications</w:t>
            </w:r>
          </w:p>
        </w:tc>
        <w:tc>
          <w:tcPr>
            <w:tcW w:w="992" w:type="dxa"/>
            <w:shd w:val="clear" w:color="auto" w:fill="D8D8D8" w:themeFill="accent1" w:themeFillTint="33"/>
          </w:tcPr>
          <w:p w14:paraId="20E23C32" w14:textId="77777777" w:rsidR="007C4935" w:rsidRPr="00B54DC6" w:rsidRDefault="007C4935" w:rsidP="00FD7CD1">
            <w:pPr>
              <w:rPr>
                <w:sz w:val="20"/>
                <w:szCs w:val="20"/>
              </w:rPr>
            </w:pPr>
            <w:r>
              <w:rPr>
                <w:sz w:val="20"/>
                <w:szCs w:val="20"/>
              </w:rPr>
              <w:t>Conform</w:t>
            </w:r>
          </w:p>
        </w:tc>
      </w:tr>
      <w:tr w:rsidR="007C4935" w:rsidRPr="00B54DC6" w14:paraId="2339AB5D" w14:textId="77777777" w:rsidTr="00FD7CD1">
        <w:trPr>
          <w:trHeight w:val="471"/>
        </w:trPr>
        <w:tc>
          <w:tcPr>
            <w:tcW w:w="1129" w:type="dxa"/>
            <w:vMerge w:val="restart"/>
            <w:shd w:val="clear" w:color="auto" w:fill="D8D8D8" w:themeFill="accent1" w:themeFillTint="33"/>
          </w:tcPr>
          <w:p w14:paraId="10F85CDA" w14:textId="77777777" w:rsidR="007C4935" w:rsidRDefault="007C4935" w:rsidP="00FD7CD1">
            <w:pPr>
              <w:rPr>
                <w:sz w:val="20"/>
                <w:szCs w:val="20"/>
              </w:rPr>
            </w:pPr>
            <w:r>
              <w:rPr>
                <w:sz w:val="20"/>
                <w:szCs w:val="20"/>
              </w:rPr>
              <w:t>Donor infectious disease marker testing</w:t>
            </w:r>
          </w:p>
        </w:tc>
        <w:tc>
          <w:tcPr>
            <w:tcW w:w="1418" w:type="dxa"/>
            <w:shd w:val="clear" w:color="auto" w:fill="FFFFFF" w:themeFill="background1"/>
          </w:tcPr>
          <w:p w14:paraId="230EC8E0" w14:textId="77777777" w:rsidR="007C4935" w:rsidRPr="0076083D" w:rsidRDefault="007C4935" w:rsidP="00FD7CD1">
            <w:pPr>
              <w:rPr>
                <w:sz w:val="20"/>
                <w:szCs w:val="20"/>
              </w:rPr>
            </w:pPr>
            <w:r w:rsidRPr="0076083D">
              <w:rPr>
                <w:sz w:val="20"/>
                <w:szCs w:val="20"/>
              </w:rPr>
              <w:t xml:space="preserve">Infectious disease markers </w:t>
            </w:r>
          </w:p>
        </w:tc>
        <w:tc>
          <w:tcPr>
            <w:tcW w:w="1276" w:type="dxa"/>
            <w:shd w:val="clear" w:color="auto" w:fill="D8D8D8" w:themeFill="accent1" w:themeFillTint="33"/>
          </w:tcPr>
          <w:p w14:paraId="093CFD44" w14:textId="77777777" w:rsidR="007C4935" w:rsidRPr="00C3644E" w:rsidRDefault="007C4935" w:rsidP="00FD7CD1">
            <w:pPr>
              <w:rPr>
                <w:sz w:val="20"/>
                <w:szCs w:val="20"/>
              </w:rPr>
            </w:pPr>
            <w:r w:rsidRPr="0076083D">
              <w:rPr>
                <w:sz w:val="20"/>
                <w:szCs w:val="20"/>
              </w:rPr>
              <w:t>Infectious disease markers to be tested</w:t>
            </w:r>
          </w:p>
        </w:tc>
        <w:tc>
          <w:tcPr>
            <w:tcW w:w="1701" w:type="dxa"/>
            <w:shd w:val="clear" w:color="auto" w:fill="D8D8D8" w:themeFill="accent1" w:themeFillTint="33"/>
          </w:tcPr>
          <w:p w14:paraId="03CCBC8C" w14:textId="77777777" w:rsidR="007C4935" w:rsidRPr="00C3644E" w:rsidRDefault="007C4935" w:rsidP="00FD7CD1">
            <w:pPr>
              <w:jc w:val="both"/>
              <w:rPr>
                <w:rFonts w:asciiTheme="majorHAnsi" w:hAnsiTheme="majorHAnsi" w:cstheme="majorHAnsi"/>
                <w:sz w:val="20"/>
                <w:szCs w:val="20"/>
              </w:rPr>
            </w:pPr>
            <w:r w:rsidRPr="00C3644E">
              <w:rPr>
                <w:rFonts w:cstheme="minorHAnsi"/>
                <w:sz w:val="20"/>
                <w:szCs w:val="20"/>
              </w:rPr>
              <w:t>2002/98/EC</w:t>
            </w:r>
            <w:r w:rsidRPr="00C3644E">
              <w:rPr>
                <w:rFonts w:asciiTheme="majorHAnsi" w:hAnsiTheme="majorHAnsi" w:cstheme="majorHAnsi"/>
                <w:sz w:val="20"/>
                <w:szCs w:val="20"/>
              </w:rPr>
              <w:t xml:space="preserve"> Annex </w:t>
            </w:r>
            <w:r w:rsidRPr="00C3644E">
              <w:rPr>
                <w:rFonts w:asciiTheme="majorHAnsi" w:eastAsia="Times New Roman" w:hAnsiTheme="majorHAnsi" w:cstheme="majorHAnsi"/>
                <w:color w:val="000000"/>
                <w:sz w:val="20"/>
                <w:szCs w:val="20"/>
                <w:lang w:eastAsia="fi-FI"/>
              </w:rPr>
              <w:t>IV</w:t>
            </w:r>
            <w:r>
              <w:rPr>
                <w:rFonts w:asciiTheme="majorHAnsi" w:eastAsia="Times New Roman" w:hAnsiTheme="majorHAnsi" w:cstheme="majorHAnsi"/>
                <w:color w:val="000000"/>
                <w:sz w:val="20"/>
                <w:szCs w:val="20"/>
                <w:lang w:eastAsia="fi-FI"/>
              </w:rPr>
              <w:t xml:space="preserve">, </w:t>
            </w:r>
            <w:r w:rsidRPr="00C3644E">
              <w:rPr>
                <w:rFonts w:cstheme="minorHAnsi"/>
                <w:sz w:val="20"/>
                <w:szCs w:val="20"/>
              </w:rPr>
              <w:t>2006/17/EC Annex II and III as amended</w:t>
            </w:r>
            <w:r>
              <w:rPr>
                <w:rFonts w:cstheme="minorHAnsi"/>
                <w:sz w:val="20"/>
                <w:szCs w:val="20"/>
              </w:rPr>
              <w:t xml:space="preserve">, </w:t>
            </w:r>
            <w:r w:rsidRPr="00C3644E">
              <w:rPr>
                <w:rFonts w:cstheme="minorHAnsi"/>
                <w:sz w:val="20"/>
                <w:szCs w:val="20"/>
              </w:rPr>
              <w:t>2006/17/EC Annex II and III</w:t>
            </w:r>
          </w:p>
          <w:p w14:paraId="606A0C17" w14:textId="77777777" w:rsidR="007C4935" w:rsidRPr="00B54DC6" w:rsidRDefault="007C4935" w:rsidP="00FD7CD1">
            <w:pPr>
              <w:rPr>
                <w:sz w:val="20"/>
                <w:szCs w:val="20"/>
              </w:rPr>
            </w:pPr>
          </w:p>
        </w:tc>
        <w:tc>
          <w:tcPr>
            <w:tcW w:w="1701" w:type="dxa"/>
          </w:tcPr>
          <w:p w14:paraId="5F5EC843" w14:textId="77777777" w:rsidR="007C4935" w:rsidRPr="00C3644E" w:rsidRDefault="007C4935" w:rsidP="00FD7CD1">
            <w:pPr>
              <w:rPr>
                <w:sz w:val="20"/>
                <w:szCs w:val="20"/>
              </w:rPr>
            </w:pPr>
            <w:r>
              <w:rPr>
                <w:rFonts w:cstheme="minorHAnsi"/>
                <w:sz w:val="20"/>
                <w:szCs w:val="20"/>
              </w:rPr>
              <w:t xml:space="preserve">eg. Additional disease markers to be tested either voluntarily or based on national legislation </w:t>
            </w:r>
          </w:p>
        </w:tc>
        <w:tc>
          <w:tcPr>
            <w:tcW w:w="1417" w:type="dxa"/>
          </w:tcPr>
          <w:p w14:paraId="5235A07C" w14:textId="77777777" w:rsidR="007C4935" w:rsidRPr="00B54DC6" w:rsidRDefault="007C4935" w:rsidP="00FD7CD1">
            <w:pPr>
              <w:rPr>
                <w:sz w:val="20"/>
                <w:szCs w:val="20"/>
              </w:rPr>
            </w:pPr>
          </w:p>
        </w:tc>
        <w:tc>
          <w:tcPr>
            <w:tcW w:w="992" w:type="dxa"/>
          </w:tcPr>
          <w:p w14:paraId="6E5A8F55" w14:textId="77777777" w:rsidR="007C4935" w:rsidRPr="00B54DC6" w:rsidRDefault="007C4935" w:rsidP="00FD7CD1">
            <w:pPr>
              <w:rPr>
                <w:sz w:val="20"/>
                <w:szCs w:val="20"/>
              </w:rPr>
            </w:pPr>
          </w:p>
        </w:tc>
      </w:tr>
      <w:tr w:rsidR="007C4935" w:rsidRPr="00B54DC6" w14:paraId="15DB457E" w14:textId="77777777" w:rsidTr="00FD7CD1">
        <w:trPr>
          <w:trHeight w:val="471"/>
        </w:trPr>
        <w:tc>
          <w:tcPr>
            <w:tcW w:w="1129" w:type="dxa"/>
            <w:vMerge/>
            <w:shd w:val="clear" w:color="auto" w:fill="D8D8D8" w:themeFill="accent1" w:themeFillTint="33"/>
          </w:tcPr>
          <w:p w14:paraId="766FCF72" w14:textId="77777777" w:rsidR="007C4935" w:rsidRPr="00B54DC6" w:rsidRDefault="007C4935" w:rsidP="00FD7CD1">
            <w:pPr>
              <w:rPr>
                <w:sz w:val="20"/>
                <w:szCs w:val="20"/>
              </w:rPr>
            </w:pPr>
          </w:p>
        </w:tc>
        <w:tc>
          <w:tcPr>
            <w:tcW w:w="1418" w:type="dxa"/>
            <w:vMerge w:val="restart"/>
            <w:shd w:val="clear" w:color="auto" w:fill="FFFFFF" w:themeFill="background1"/>
          </w:tcPr>
          <w:p w14:paraId="3A763F40" w14:textId="77777777" w:rsidR="007C4935" w:rsidRDefault="007C4935" w:rsidP="00FD7CD1">
            <w:pPr>
              <w:rPr>
                <w:sz w:val="20"/>
                <w:szCs w:val="20"/>
              </w:rPr>
            </w:pPr>
            <w:r>
              <w:rPr>
                <w:sz w:val="20"/>
                <w:szCs w:val="20"/>
              </w:rPr>
              <w:t>Testing kit/assay</w:t>
            </w:r>
          </w:p>
        </w:tc>
        <w:tc>
          <w:tcPr>
            <w:tcW w:w="1276" w:type="dxa"/>
            <w:shd w:val="clear" w:color="auto" w:fill="D8D8D8" w:themeFill="accent1" w:themeFillTint="33"/>
          </w:tcPr>
          <w:p w14:paraId="65655762" w14:textId="77777777" w:rsidR="007C4935" w:rsidRPr="00C3644E" w:rsidRDefault="007C4935" w:rsidP="00FD7CD1">
            <w:pPr>
              <w:rPr>
                <w:sz w:val="20"/>
                <w:szCs w:val="20"/>
              </w:rPr>
            </w:pPr>
            <w:r>
              <w:rPr>
                <w:sz w:val="20"/>
                <w:szCs w:val="20"/>
              </w:rPr>
              <w:t>CE-marked kit Yes/No</w:t>
            </w:r>
          </w:p>
        </w:tc>
        <w:tc>
          <w:tcPr>
            <w:tcW w:w="1701" w:type="dxa"/>
            <w:shd w:val="clear" w:color="auto" w:fill="D8D8D8" w:themeFill="accent1" w:themeFillTint="33"/>
          </w:tcPr>
          <w:p w14:paraId="7BD64255" w14:textId="77777777" w:rsidR="007C4935" w:rsidRDefault="007C4935" w:rsidP="00FD7CD1">
            <w:pPr>
              <w:rPr>
                <w:sz w:val="20"/>
                <w:szCs w:val="20"/>
              </w:rPr>
            </w:pPr>
            <w:r>
              <w:rPr>
                <w:sz w:val="20"/>
                <w:szCs w:val="20"/>
              </w:rPr>
              <w:t>2006/17/EC</w:t>
            </w:r>
          </w:p>
          <w:p w14:paraId="65BBC11F" w14:textId="77777777" w:rsidR="007C4935" w:rsidRPr="001D6DAB" w:rsidRDefault="007C4935" w:rsidP="00FD7CD1">
            <w:pPr>
              <w:rPr>
                <w:sz w:val="20"/>
                <w:szCs w:val="20"/>
              </w:rPr>
            </w:pPr>
            <w:r>
              <w:rPr>
                <w:sz w:val="20"/>
                <w:szCs w:val="20"/>
              </w:rPr>
              <w:t>2017/746</w:t>
            </w:r>
          </w:p>
        </w:tc>
        <w:tc>
          <w:tcPr>
            <w:tcW w:w="1701" w:type="dxa"/>
          </w:tcPr>
          <w:p w14:paraId="6EECA10B" w14:textId="77777777" w:rsidR="007C4935" w:rsidRPr="00B54DC6" w:rsidRDefault="007C4935" w:rsidP="00FD7CD1">
            <w:pPr>
              <w:rPr>
                <w:sz w:val="20"/>
                <w:szCs w:val="20"/>
              </w:rPr>
            </w:pPr>
          </w:p>
        </w:tc>
        <w:tc>
          <w:tcPr>
            <w:tcW w:w="1417" w:type="dxa"/>
          </w:tcPr>
          <w:p w14:paraId="06EB1A96" w14:textId="77777777" w:rsidR="007C4935" w:rsidRPr="00B54DC6" w:rsidRDefault="007C4935" w:rsidP="00FD7CD1">
            <w:pPr>
              <w:rPr>
                <w:sz w:val="20"/>
                <w:szCs w:val="20"/>
              </w:rPr>
            </w:pPr>
          </w:p>
        </w:tc>
        <w:tc>
          <w:tcPr>
            <w:tcW w:w="992" w:type="dxa"/>
          </w:tcPr>
          <w:p w14:paraId="04679C13" w14:textId="77777777" w:rsidR="007C4935" w:rsidRPr="00B54DC6" w:rsidRDefault="007C4935" w:rsidP="00FD7CD1">
            <w:pPr>
              <w:rPr>
                <w:sz w:val="20"/>
                <w:szCs w:val="20"/>
              </w:rPr>
            </w:pPr>
          </w:p>
        </w:tc>
      </w:tr>
      <w:tr w:rsidR="007C4935" w:rsidRPr="00B54DC6" w14:paraId="24B5280D" w14:textId="77777777" w:rsidTr="00FD7CD1">
        <w:trPr>
          <w:trHeight w:val="471"/>
        </w:trPr>
        <w:tc>
          <w:tcPr>
            <w:tcW w:w="1129" w:type="dxa"/>
            <w:vMerge/>
            <w:shd w:val="clear" w:color="auto" w:fill="D8D8D8" w:themeFill="accent1" w:themeFillTint="33"/>
          </w:tcPr>
          <w:p w14:paraId="1805BC48" w14:textId="77777777" w:rsidR="007C4935" w:rsidRDefault="007C4935" w:rsidP="00FD7CD1">
            <w:pPr>
              <w:rPr>
                <w:sz w:val="20"/>
                <w:szCs w:val="20"/>
              </w:rPr>
            </w:pPr>
          </w:p>
        </w:tc>
        <w:tc>
          <w:tcPr>
            <w:tcW w:w="1418" w:type="dxa"/>
            <w:vMerge/>
            <w:shd w:val="clear" w:color="auto" w:fill="FFFFFF" w:themeFill="background1"/>
          </w:tcPr>
          <w:p w14:paraId="2F14D0E7" w14:textId="77777777" w:rsidR="007C4935" w:rsidRPr="00EA4240" w:rsidRDefault="007C4935" w:rsidP="00FD7CD1">
            <w:pPr>
              <w:rPr>
                <w:sz w:val="20"/>
                <w:szCs w:val="20"/>
              </w:rPr>
            </w:pPr>
          </w:p>
        </w:tc>
        <w:tc>
          <w:tcPr>
            <w:tcW w:w="1276" w:type="dxa"/>
            <w:shd w:val="clear" w:color="auto" w:fill="D8D8D8" w:themeFill="accent1" w:themeFillTint="33"/>
          </w:tcPr>
          <w:p w14:paraId="4C9EF0FA" w14:textId="77777777" w:rsidR="007C4935" w:rsidRPr="00C3644E" w:rsidRDefault="007C4935" w:rsidP="00FD7CD1">
            <w:pPr>
              <w:rPr>
                <w:sz w:val="20"/>
                <w:szCs w:val="20"/>
              </w:rPr>
            </w:pPr>
            <w:r>
              <w:rPr>
                <w:sz w:val="20"/>
                <w:szCs w:val="20"/>
              </w:rPr>
              <w:t>In-house assay</w:t>
            </w:r>
          </w:p>
        </w:tc>
        <w:tc>
          <w:tcPr>
            <w:tcW w:w="1701" w:type="dxa"/>
            <w:shd w:val="clear" w:color="auto" w:fill="D8D8D8" w:themeFill="accent1" w:themeFillTint="33"/>
          </w:tcPr>
          <w:p w14:paraId="088F9678" w14:textId="77777777" w:rsidR="007C4935" w:rsidRDefault="007C4935" w:rsidP="00FD7CD1">
            <w:pPr>
              <w:rPr>
                <w:sz w:val="20"/>
                <w:szCs w:val="20"/>
              </w:rPr>
            </w:pPr>
            <w:r>
              <w:rPr>
                <w:sz w:val="20"/>
                <w:szCs w:val="20"/>
              </w:rPr>
              <w:t>2017/746</w:t>
            </w:r>
          </w:p>
        </w:tc>
        <w:tc>
          <w:tcPr>
            <w:tcW w:w="1701" w:type="dxa"/>
          </w:tcPr>
          <w:p w14:paraId="078C1F70" w14:textId="77777777" w:rsidR="007C4935" w:rsidRPr="00B54DC6" w:rsidRDefault="007C4935" w:rsidP="00FD7CD1">
            <w:pPr>
              <w:rPr>
                <w:sz w:val="20"/>
                <w:szCs w:val="20"/>
              </w:rPr>
            </w:pPr>
          </w:p>
        </w:tc>
        <w:tc>
          <w:tcPr>
            <w:tcW w:w="1417" w:type="dxa"/>
          </w:tcPr>
          <w:p w14:paraId="259EB4C0" w14:textId="77777777" w:rsidR="007C4935" w:rsidRPr="00B54DC6" w:rsidRDefault="007C4935" w:rsidP="00FD7CD1">
            <w:pPr>
              <w:rPr>
                <w:sz w:val="20"/>
                <w:szCs w:val="20"/>
              </w:rPr>
            </w:pPr>
          </w:p>
        </w:tc>
        <w:tc>
          <w:tcPr>
            <w:tcW w:w="992" w:type="dxa"/>
          </w:tcPr>
          <w:p w14:paraId="5488F1E8" w14:textId="77777777" w:rsidR="007C4935" w:rsidRPr="00B54DC6" w:rsidRDefault="007C4935" w:rsidP="00FD7CD1">
            <w:pPr>
              <w:rPr>
                <w:sz w:val="20"/>
                <w:szCs w:val="20"/>
              </w:rPr>
            </w:pPr>
          </w:p>
        </w:tc>
      </w:tr>
      <w:tr w:rsidR="007C4935" w:rsidRPr="00B54DC6" w14:paraId="633D25D2" w14:textId="77777777" w:rsidTr="00FD7CD1">
        <w:trPr>
          <w:trHeight w:val="249"/>
        </w:trPr>
        <w:tc>
          <w:tcPr>
            <w:tcW w:w="1129" w:type="dxa"/>
            <w:vMerge/>
            <w:shd w:val="clear" w:color="auto" w:fill="D8D8D8" w:themeFill="accent1" w:themeFillTint="33"/>
          </w:tcPr>
          <w:p w14:paraId="54CE3B3C" w14:textId="77777777" w:rsidR="007C4935" w:rsidRDefault="007C4935" w:rsidP="00FD7CD1">
            <w:pPr>
              <w:rPr>
                <w:sz w:val="20"/>
                <w:szCs w:val="20"/>
              </w:rPr>
            </w:pPr>
          </w:p>
        </w:tc>
        <w:tc>
          <w:tcPr>
            <w:tcW w:w="1418" w:type="dxa"/>
          </w:tcPr>
          <w:p w14:paraId="06C355B3" w14:textId="77777777" w:rsidR="007C4935" w:rsidRPr="00EA2120" w:rsidRDefault="007C4935" w:rsidP="00FD7CD1">
            <w:pPr>
              <w:rPr>
                <w:sz w:val="20"/>
                <w:szCs w:val="20"/>
              </w:rPr>
            </w:pPr>
            <w:r>
              <w:rPr>
                <w:sz w:val="20"/>
                <w:szCs w:val="20"/>
              </w:rPr>
              <w:t xml:space="preserve">Performance </w:t>
            </w:r>
          </w:p>
        </w:tc>
        <w:tc>
          <w:tcPr>
            <w:tcW w:w="1276" w:type="dxa"/>
            <w:shd w:val="clear" w:color="auto" w:fill="D8D8D8" w:themeFill="accent1" w:themeFillTint="33"/>
          </w:tcPr>
          <w:p w14:paraId="0EBB72E5" w14:textId="77777777" w:rsidR="007C4935" w:rsidRDefault="007C4935" w:rsidP="00FD7CD1">
            <w:pPr>
              <w:rPr>
                <w:sz w:val="20"/>
                <w:szCs w:val="20"/>
              </w:rPr>
            </w:pPr>
            <w:r>
              <w:rPr>
                <w:sz w:val="20"/>
                <w:szCs w:val="20"/>
              </w:rPr>
              <w:t xml:space="preserve"> </w:t>
            </w:r>
          </w:p>
          <w:p w14:paraId="48337DE1" w14:textId="77777777" w:rsidR="007C4935" w:rsidRDefault="007C4935" w:rsidP="00FD7CD1">
            <w:pPr>
              <w:rPr>
                <w:sz w:val="20"/>
                <w:szCs w:val="20"/>
              </w:rPr>
            </w:pPr>
          </w:p>
          <w:p w14:paraId="7A70ED89" w14:textId="77777777" w:rsidR="007C4935" w:rsidRPr="00B54DC6" w:rsidRDefault="007C4935" w:rsidP="00FD7CD1">
            <w:pPr>
              <w:rPr>
                <w:sz w:val="20"/>
                <w:szCs w:val="20"/>
              </w:rPr>
            </w:pPr>
          </w:p>
        </w:tc>
        <w:tc>
          <w:tcPr>
            <w:tcW w:w="1701" w:type="dxa"/>
          </w:tcPr>
          <w:p w14:paraId="5955A7F0" w14:textId="77777777" w:rsidR="007C4935" w:rsidRDefault="007C4935" w:rsidP="00FD7CD1">
            <w:pPr>
              <w:rPr>
                <w:sz w:val="20"/>
                <w:szCs w:val="20"/>
              </w:rPr>
            </w:pPr>
          </w:p>
          <w:p w14:paraId="4618961A" w14:textId="77777777" w:rsidR="007C4935" w:rsidRPr="00B54DC6" w:rsidRDefault="007C4935" w:rsidP="00FD7CD1">
            <w:pPr>
              <w:rPr>
                <w:sz w:val="20"/>
                <w:szCs w:val="20"/>
              </w:rPr>
            </w:pPr>
          </w:p>
        </w:tc>
        <w:tc>
          <w:tcPr>
            <w:tcW w:w="1701" w:type="dxa"/>
          </w:tcPr>
          <w:p w14:paraId="38433D36" w14:textId="77777777" w:rsidR="007C4935" w:rsidRPr="00B54DC6" w:rsidRDefault="007C4935" w:rsidP="00FD7CD1">
            <w:pPr>
              <w:rPr>
                <w:sz w:val="20"/>
                <w:szCs w:val="20"/>
              </w:rPr>
            </w:pPr>
            <w:r>
              <w:rPr>
                <w:sz w:val="20"/>
                <w:szCs w:val="20"/>
              </w:rPr>
              <w:t xml:space="preserve"> </w:t>
            </w:r>
          </w:p>
        </w:tc>
        <w:tc>
          <w:tcPr>
            <w:tcW w:w="1417" w:type="dxa"/>
          </w:tcPr>
          <w:p w14:paraId="06900B53" w14:textId="77777777" w:rsidR="007C4935" w:rsidRPr="00B54DC6" w:rsidRDefault="007C4935" w:rsidP="00FD7CD1">
            <w:pPr>
              <w:rPr>
                <w:sz w:val="20"/>
                <w:szCs w:val="20"/>
              </w:rPr>
            </w:pPr>
          </w:p>
        </w:tc>
        <w:tc>
          <w:tcPr>
            <w:tcW w:w="992" w:type="dxa"/>
          </w:tcPr>
          <w:p w14:paraId="5F0F264C" w14:textId="77777777" w:rsidR="007C4935" w:rsidRPr="00B54DC6" w:rsidRDefault="007C4935" w:rsidP="00FD7CD1">
            <w:pPr>
              <w:rPr>
                <w:sz w:val="20"/>
                <w:szCs w:val="20"/>
              </w:rPr>
            </w:pPr>
          </w:p>
        </w:tc>
      </w:tr>
      <w:tr w:rsidR="007C4935" w:rsidRPr="00B54DC6" w14:paraId="40CEF896" w14:textId="77777777" w:rsidTr="00FD7CD1">
        <w:trPr>
          <w:trHeight w:val="249"/>
        </w:trPr>
        <w:tc>
          <w:tcPr>
            <w:tcW w:w="1129" w:type="dxa"/>
            <w:vMerge/>
            <w:shd w:val="clear" w:color="auto" w:fill="D8D8D8" w:themeFill="accent1" w:themeFillTint="33"/>
          </w:tcPr>
          <w:p w14:paraId="3BE0DEED" w14:textId="77777777" w:rsidR="007C4935" w:rsidRDefault="007C4935" w:rsidP="00FD7CD1">
            <w:pPr>
              <w:rPr>
                <w:sz w:val="20"/>
                <w:szCs w:val="20"/>
              </w:rPr>
            </w:pPr>
          </w:p>
        </w:tc>
        <w:tc>
          <w:tcPr>
            <w:tcW w:w="1418" w:type="dxa"/>
          </w:tcPr>
          <w:p w14:paraId="3CD50AAE" w14:textId="77777777" w:rsidR="007C4935" w:rsidRDefault="007C4935" w:rsidP="00FD7CD1">
            <w:pPr>
              <w:rPr>
                <w:sz w:val="20"/>
                <w:szCs w:val="20"/>
              </w:rPr>
            </w:pPr>
            <w:r>
              <w:rPr>
                <w:sz w:val="20"/>
                <w:szCs w:val="20"/>
              </w:rPr>
              <w:t>Validation</w:t>
            </w:r>
          </w:p>
        </w:tc>
        <w:tc>
          <w:tcPr>
            <w:tcW w:w="1276" w:type="dxa"/>
            <w:shd w:val="clear" w:color="auto" w:fill="D8D8D8" w:themeFill="accent1" w:themeFillTint="33"/>
          </w:tcPr>
          <w:p w14:paraId="54079438" w14:textId="77777777" w:rsidR="007C4935" w:rsidRDefault="007C4935" w:rsidP="00FD7CD1">
            <w:pPr>
              <w:rPr>
                <w:sz w:val="20"/>
                <w:szCs w:val="20"/>
              </w:rPr>
            </w:pPr>
          </w:p>
        </w:tc>
        <w:tc>
          <w:tcPr>
            <w:tcW w:w="1701" w:type="dxa"/>
          </w:tcPr>
          <w:p w14:paraId="41CE0E79" w14:textId="77777777" w:rsidR="007C4935" w:rsidRDefault="007C4935" w:rsidP="00FD7CD1">
            <w:pPr>
              <w:rPr>
                <w:sz w:val="20"/>
                <w:szCs w:val="20"/>
              </w:rPr>
            </w:pPr>
          </w:p>
        </w:tc>
        <w:tc>
          <w:tcPr>
            <w:tcW w:w="1701" w:type="dxa"/>
          </w:tcPr>
          <w:p w14:paraId="190E018A" w14:textId="77777777" w:rsidR="007C4935" w:rsidRDefault="007C4935" w:rsidP="00FD7CD1">
            <w:pPr>
              <w:rPr>
                <w:sz w:val="20"/>
                <w:szCs w:val="20"/>
              </w:rPr>
            </w:pPr>
          </w:p>
        </w:tc>
        <w:tc>
          <w:tcPr>
            <w:tcW w:w="1417" w:type="dxa"/>
          </w:tcPr>
          <w:p w14:paraId="495DCCD8" w14:textId="77777777" w:rsidR="007C4935" w:rsidRPr="00B54DC6" w:rsidRDefault="007C4935" w:rsidP="00FD7CD1">
            <w:pPr>
              <w:rPr>
                <w:sz w:val="20"/>
                <w:szCs w:val="20"/>
              </w:rPr>
            </w:pPr>
          </w:p>
        </w:tc>
        <w:tc>
          <w:tcPr>
            <w:tcW w:w="992" w:type="dxa"/>
          </w:tcPr>
          <w:p w14:paraId="2E885FC6" w14:textId="77777777" w:rsidR="007C4935" w:rsidRPr="00B54DC6" w:rsidRDefault="007C4935" w:rsidP="00FD7CD1">
            <w:pPr>
              <w:rPr>
                <w:sz w:val="20"/>
                <w:szCs w:val="20"/>
              </w:rPr>
            </w:pPr>
          </w:p>
        </w:tc>
      </w:tr>
    </w:tbl>
    <w:p w14:paraId="73964B6A" w14:textId="6ECB9FD4" w:rsidR="00961004" w:rsidRDefault="00961004" w:rsidP="00193834">
      <w:pPr>
        <w:jc w:val="both"/>
        <w:rPr>
          <w:rFonts w:eastAsia="Times New Roman" w:cstheme="minorHAnsi"/>
          <w:sz w:val="24"/>
          <w:szCs w:val="24"/>
          <w:u w:val="single"/>
          <w:lang w:eastAsia="fi-FI"/>
        </w:rPr>
      </w:pPr>
    </w:p>
    <w:p w14:paraId="14BF7530" w14:textId="77777777" w:rsidR="00555A3F" w:rsidRPr="00193834" w:rsidRDefault="00555A3F" w:rsidP="00193834">
      <w:pPr>
        <w:jc w:val="both"/>
        <w:rPr>
          <w:rFonts w:eastAsia="Times New Roman" w:cstheme="minorHAnsi"/>
          <w:sz w:val="24"/>
          <w:szCs w:val="24"/>
          <w:u w:val="single"/>
          <w:lang w:eastAsia="fi-FI"/>
        </w:rPr>
      </w:pPr>
    </w:p>
    <w:p w14:paraId="2C2A9F93" w14:textId="0C08EEFF" w:rsidR="0016296D" w:rsidRPr="00620A9D" w:rsidRDefault="0016296D" w:rsidP="009A297D">
      <w:pPr>
        <w:pStyle w:val="Heading1"/>
        <w:numPr>
          <w:ilvl w:val="0"/>
          <w:numId w:val="13"/>
        </w:numPr>
        <w:jc w:val="both"/>
      </w:pPr>
      <w:bookmarkStart w:id="19" w:name="_Toc41427158"/>
      <w:r w:rsidRPr="00620A9D">
        <w:t xml:space="preserve">Criteria for validation of </w:t>
      </w:r>
      <w:r w:rsidR="000A54B2" w:rsidRPr="00620A9D">
        <w:t>pathogen</w:t>
      </w:r>
      <w:r w:rsidRPr="00620A9D">
        <w:t xml:space="preserve"> </w:t>
      </w:r>
      <w:r w:rsidR="00745B2E" w:rsidRPr="00620A9D">
        <w:t>reduction</w:t>
      </w:r>
      <w:r w:rsidRPr="00620A9D">
        <w:t xml:space="preserve"> steps</w:t>
      </w:r>
      <w:bookmarkEnd w:id="19"/>
      <w:r w:rsidR="00202C47" w:rsidRPr="00620A9D">
        <w:t xml:space="preserve"> </w:t>
      </w:r>
    </w:p>
    <w:p w14:paraId="63F7CC8B" w14:textId="77777777" w:rsidR="00237ECF" w:rsidRDefault="00237ECF" w:rsidP="006A3871">
      <w:pPr>
        <w:spacing w:before="240"/>
        <w:jc w:val="both"/>
        <w:rPr>
          <w:rFonts w:cstheme="minorHAnsi"/>
          <w:sz w:val="24"/>
          <w:szCs w:val="24"/>
          <w:lang w:val="en-GB"/>
        </w:rPr>
      </w:pPr>
    </w:p>
    <w:p w14:paraId="05ECBFED" w14:textId="0354B6DC" w:rsidR="006A3871" w:rsidRPr="006A3871" w:rsidRDefault="006A3871" w:rsidP="006A3871">
      <w:pPr>
        <w:spacing w:before="240"/>
        <w:jc w:val="both"/>
        <w:rPr>
          <w:rFonts w:cstheme="minorHAnsi"/>
          <w:sz w:val="24"/>
          <w:szCs w:val="24"/>
          <w:lang w:val="en-GB"/>
        </w:rPr>
      </w:pPr>
      <w:r w:rsidRPr="006A3871">
        <w:rPr>
          <w:rFonts w:cstheme="minorHAnsi"/>
          <w:sz w:val="24"/>
          <w:szCs w:val="24"/>
          <w:lang w:val="en-GB"/>
        </w:rPr>
        <w:t>Even with very sensitive and specific testing, there remains a residual risk of transmission of infection during the window peri</w:t>
      </w:r>
      <w:r w:rsidR="002D186F">
        <w:rPr>
          <w:rFonts w:cstheme="minorHAnsi"/>
          <w:sz w:val="24"/>
          <w:szCs w:val="24"/>
          <w:lang w:val="en-GB"/>
        </w:rPr>
        <w:t>od, undetectable by screening. In addition,</w:t>
      </w:r>
      <w:r w:rsidRPr="006A3871">
        <w:rPr>
          <w:rFonts w:cstheme="minorHAnsi"/>
          <w:sz w:val="24"/>
          <w:szCs w:val="24"/>
          <w:lang w:val="en-GB"/>
        </w:rPr>
        <w:t xml:space="preserve"> mutations occurring in pathogens could result in pathogens remaining</w:t>
      </w:r>
      <w:r w:rsidR="001E386C">
        <w:rPr>
          <w:rFonts w:cstheme="minorHAnsi"/>
          <w:sz w:val="24"/>
          <w:szCs w:val="24"/>
          <w:lang w:val="en-GB"/>
        </w:rPr>
        <w:t xml:space="preserve"> undetected by testing</w:t>
      </w:r>
      <w:r w:rsidRPr="006A3871">
        <w:rPr>
          <w:rFonts w:cstheme="minorHAnsi"/>
          <w:sz w:val="24"/>
          <w:szCs w:val="24"/>
          <w:lang w:val="en-GB"/>
        </w:rPr>
        <w:t xml:space="preserve">. Residual bacterial </w:t>
      </w:r>
      <w:r w:rsidR="008517E1">
        <w:rPr>
          <w:rFonts w:cstheme="minorHAnsi"/>
          <w:sz w:val="24"/>
          <w:szCs w:val="24"/>
          <w:lang w:val="en-GB"/>
        </w:rPr>
        <w:t xml:space="preserve">and fungal </w:t>
      </w:r>
      <w:r w:rsidRPr="006A3871">
        <w:rPr>
          <w:rFonts w:cstheme="minorHAnsi"/>
          <w:sz w:val="24"/>
          <w:szCs w:val="24"/>
          <w:lang w:val="en-GB"/>
        </w:rPr>
        <w:t>contaminations also exist, most likely in BTCs that are stored at or close to room temperature (for example platelets)</w:t>
      </w:r>
      <w:r w:rsidR="00AC2B90">
        <w:rPr>
          <w:rFonts w:cstheme="minorHAnsi"/>
          <w:sz w:val="24"/>
          <w:szCs w:val="24"/>
          <w:lang w:val="en-GB"/>
        </w:rPr>
        <w:t xml:space="preserve"> or due to procurement and processing when open systems </w:t>
      </w:r>
      <w:r w:rsidR="00AC2B90">
        <w:rPr>
          <w:rFonts w:cstheme="minorHAnsi"/>
          <w:sz w:val="24"/>
          <w:szCs w:val="24"/>
          <w:lang w:val="en-GB"/>
        </w:rPr>
        <w:lastRenderedPageBreak/>
        <w:t>are used</w:t>
      </w:r>
      <w:r w:rsidRPr="006A3871">
        <w:rPr>
          <w:rFonts w:cstheme="minorHAnsi"/>
          <w:sz w:val="24"/>
          <w:szCs w:val="24"/>
          <w:lang w:val="en-GB"/>
        </w:rPr>
        <w:t>. New threats have also been identified as for example prions, emerging viruses, and parasites.</w:t>
      </w:r>
    </w:p>
    <w:p w14:paraId="668B934E" w14:textId="4C6A07C1" w:rsidR="006A3871" w:rsidRDefault="006A3871" w:rsidP="008A2638">
      <w:pPr>
        <w:spacing w:before="240"/>
        <w:jc w:val="both"/>
        <w:rPr>
          <w:rFonts w:cstheme="minorHAnsi"/>
          <w:sz w:val="24"/>
          <w:szCs w:val="24"/>
          <w:lang w:val="en-GB"/>
        </w:rPr>
      </w:pPr>
      <w:r w:rsidRPr="006A3871">
        <w:rPr>
          <w:rFonts w:cstheme="minorHAnsi"/>
          <w:sz w:val="24"/>
          <w:szCs w:val="24"/>
          <w:lang w:val="en-GB"/>
        </w:rPr>
        <w:t xml:space="preserve">With the remaining risks related to BTC recipients, there is pressure to further enhance the quality and safety of BTC. One way to do that is developing pathogen reduction technologies (PRT) that </w:t>
      </w:r>
      <w:r w:rsidR="00D90ADB">
        <w:rPr>
          <w:rFonts w:cstheme="minorHAnsi"/>
          <w:sz w:val="24"/>
          <w:szCs w:val="24"/>
          <w:lang w:val="en-GB"/>
        </w:rPr>
        <w:t xml:space="preserve">aim </w:t>
      </w:r>
      <w:r w:rsidR="00D90ADB" w:rsidRPr="00D90ADB">
        <w:rPr>
          <w:rFonts w:cstheme="minorHAnsi"/>
          <w:sz w:val="24"/>
          <w:szCs w:val="24"/>
          <w:lang w:val="en-GB"/>
        </w:rPr>
        <w:t>to remove or</w:t>
      </w:r>
      <w:r w:rsidR="00D90ADB">
        <w:rPr>
          <w:rFonts w:cstheme="minorHAnsi"/>
          <w:sz w:val="24"/>
          <w:szCs w:val="24"/>
          <w:lang w:val="en-GB"/>
        </w:rPr>
        <w:t xml:space="preserve"> </w:t>
      </w:r>
      <w:r w:rsidR="00D90ADB" w:rsidRPr="00D90ADB">
        <w:rPr>
          <w:rFonts w:cstheme="minorHAnsi"/>
          <w:sz w:val="24"/>
          <w:szCs w:val="24"/>
          <w:lang w:val="en-GB"/>
        </w:rPr>
        <w:t xml:space="preserve">inactivate </w:t>
      </w:r>
      <w:r w:rsidR="00D90ADB">
        <w:rPr>
          <w:rFonts w:cstheme="minorHAnsi"/>
          <w:sz w:val="24"/>
          <w:szCs w:val="24"/>
          <w:lang w:val="en-GB"/>
        </w:rPr>
        <w:t>pathogens</w:t>
      </w:r>
      <w:r w:rsidRPr="006A3871">
        <w:rPr>
          <w:rFonts w:cstheme="minorHAnsi"/>
          <w:sz w:val="24"/>
          <w:szCs w:val="24"/>
          <w:lang w:val="en-GB"/>
        </w:rPr>
        <w:t xml:space="preserve"> in BTC. PRT are also more generalized approa</w:t>
      </w:r>
      <w:r w:rsidR="008A2638">
        <w:rPr>
          <w:rFonts w:cstheme="minorHAnsi"/>
          <w:sz w:val="24"/>
          <w:szCs w:val="24"/>
          <w:lang w:val="en-GB"/>
        </w:rPr>
        <w:t xml:space="preserve">ch against emerging pathogens. </w:t>
      </w:r>
      <w:r w:rsidR="008A2638" w:rsidRPr="008A2638">
        <w:rPr>
          <w:rFonts w:cstheme="minorHAnsi"/>
          <w:sz w:val="24"/>
          <w:szCs w:val="24"/>
          <w:lang w:val="en-GB"/>
        </w:rPr>
        <w:t>Currently available systems have been demonstrated to inactivate a</w:t>
      </w:r>
      <w:r w:rsidR="008A2638">
        <w:rPr>
          <w:rFonts w:cstheme="minorHAnsi"/>
          <w:sz w:val="24"/>
          <w:szCs w:val="24"/>
          <w:lang w:val="en-GB"/>
        </w:rPr>
        <w:t xml:space="preserve"> wide range of viruses, bacteria</w:t>
      </w:r>
      <w:r w:rsidR="008A2638" w:rsidRPr="008A2638">
        <w:rPr>
          <w:rFonts w:cstheme="minorHAnsi"/>
          <w:sz w:val="24"/>
          <w:szCs w:val="24"/>
          <w:lang w:val="en-GB"/>
        </w:rPr>
        <w:t xml:space="preserve"> and parasites</w:t>
      </w:r>
      <w:r w:rsidR="008A2638">
        <w:rPr>
          <w:rFonts w:cstheme="minorHAnsi"/>
          <w:sz w:val="24"/>
          <w:szCs w:val="24"/>
          <w:lang w:val="en-GB"/>
        </w:rPr>
        <w:t xml:space="preserve"> but</w:t>
      </w:r>
      <w:r w:rsidR="008A2638" w:rsidRPr="008A2638">
        <w:rPr>
          <w:rFonts w:cstheme="minorHAnsi"/>
          <w:sz w:val="24"/>
          <w:szCs w:val="24"/>
          <w:lang w:val="en-GB"/>
        </w:rPr>
        <w:t xml:space="preserve"> </w:t>
      </w:r>
      <w:r w:rsidR="008A2638">
        <w:rPr>
          <w:rFonts w:cstheme="minorHAnsi"/>
          <w:sz w:val="24"/>
          <w:szCs w:val="24"/>
          <w:lang w:val="en-GB"/>
        </w:rPr>
        <w:t>t</w:t>
      </w:r>
      <w:r w:rsidR="008A2638" w:rsidRPr="008A2638">
        <w:rPr>
          <w:rFonts w:cstheme="minorHAnsi"/>
          <w:sz w:val="24"/>
          <w:szCs w:val="24"/>
          <w:lang w:val="en-GB"/>
        </w:rPr>
        <w:t>hey do not</w:t>
      </w:r>
      <w:r w:rsidR="008A2638">
        <w:rPr>
          <w:rFonts w:cstheme="minorHAnsi"/>
          <w:sz w:val="24"/>
          <w:szCs w:val="24"/>
          <w:lang w:val="en-GB"/>
        </w:rPr>
        <w:t xml:space="preserve"> </w:t>
      </w:r>
      <w:r w:rsidR="008A2638" w:rsidRPr="008A2638">
        <w:rPr>
          <w:rFonts w:cstheme="minorHAnsi"/>
          <w:sz w:val="24"/>
          <w:szCs w:val="24"/>
          <w:lang w:val="en-GB"/>
        </w:rPr>
        <w:t xml:space="preserve">reduce infectivity associated with prion proteins and, hence, </w:t>
      </w:r>
      <w:r w:rsidR="008A2638">
        <w:rPr>
          <w:rFonts w:cstheme="minorHAnsi"/>
          <w:sz w:val="24"/>
          <w:szCs w:val="24"/>
          <w:lang w:val="en-GB"/>
        </w:rPr>
        <w:t xml:space="preserve">for example </w:t>
      </w:r>
      <w:r w:rsidR="008A2638" w:rsidRPr="008A2638">
        <w:rPr>
          <w:rFonts w:cstheme="minorHAnsi"/>
          <w:sz w:val="24"/>
          <w:szCs w:val="24"/>
          <w:lang w:val="en-GB"/>
        </w:rPr>
        <w:t>vCJD</w:t>
      </w:r>
      <w:r w:rsidR="008A2638">
        <w:rPr>
          <w:rFonts w:cstheme="minorHAnsi"/>
          <w:sz w:val="24"/>
          <w:szCs w:val="24"/>
          <w:lang w:val="en-GB"/>
        </w:rPr>
        <w:t xml:space="preserve"> </w:t>
      </w:r>
      <w:r w:rsidR="008A2638" w:rsidRPr="008A2638">
        <w:rPr>
          <w:rFonts w:cstheme="minorHAnsi"/>
          <w:sz w:val="24"/>
          <w:szCs w:val="24"/>
          <w:lang w:val="en-GB"/>
        </w:rPr>
        <w:t>risk</w:t>
      </w:r>
      <w:r w:rsidR="008A2638">
        <w:rPr>
          <w:rFonts w:cstheme="minorHAnsi"/>
          <w:sz w:val="24"/>
          <w:szCs w:val="24"/>
          <w:lang w:val="en-GB"/>
        </w:rPr>
        <w:t xml:space="preserve"> (ref: EDQM Blood Guide)</w:t>
      </w:r>
      <w:r w:rsidR="008A2638" w:rsidRPr="008A2638">
        <w:rPr>
          <w:rFonts w:cstheme="minorHAnsi"/>
          <w:sz w:val="24"/>
          <w:szCs w:val="24"/>
          <w:lang w:val="en-GB"/>
        </w:rPr>
        <w:t>.</w:t>
      </w:r>
    </w:p>
    <w:p w14:paraId="3AF4408E" w14:textId="21D84C8E" w:rsidR="0012412F" w:rsidRPr="006A3871" w:rsidRDefault="0012412F" w:rsidP="006A3871">
      <w:pPr>
        <w:spacing w:before="240"/>
        <w:jc w:val="both"/>
        <w:rPr>
          <w:rFonts w:cstheme="minorHAnsi"/>
          <w:sz w:val="24"/>
          <w:szCs w:val="24"/>
          <w:lang w:val="en-GB"/>
        </w:rPr>
      </w:pPr>
      <w:r w:rsidRPr="00AC1386">
        <w:rPr>
          <w:rFonts w:cstheme="minorHAnsi"/>
          <w:sz w:val="24"/>
          <w:szCs w:val="24"/>
          <w:lang w:val="en-GB"/>
        </w:rPr>
        <w:t xml:space="preserve">This </w:t>
      </w:r>
      <w:r>
        <w:rPr>
          <w:rFonts w:cstheme="minorHAnsi"/>
          <w:sz w:val="24"/>
          <w:szCs w:val="24"/>
          <w:lang w:val="en-GB"/>
        </w:rPr>
        <w:t>section</w:t>
      </w:r>
      <w:r w:rsidRPr="00AC1386">
        <w:rPr>
          <w:rFonts w:cstheme="minorHAnsi"/>
          <w:sz w:val="24"/>
          <w:szCs w:val="24"/>
          <w:lang w:val="en-GB"/>
        </w:rPr>
        <w:t xml:space="preserve"> relates to the </w:t>
      </w:r>
      <w:r>
        <w:rPr>
          <w:rFonts w:cstheme="minorHAnsi"/>
          <w:sz w:val="24"/>
          <w:szCs w:val="24"/>
          <w:lang w:val="en-GB"/>
        </w:rPr>
        <w:t xml:space="preserve">MS CA </w:t>
      </w:r>
      <w:r w:rsidRPr="00AC1386">
        <w:rPr>
          <w:rFonts w:cstheme="minorHAnsi"/>
          <w:sz w:val="24"/>
          <w:szCs w:val="24"/>
          <w:lang w:val="en-GB"/>
        </w:rPr>
        <w:t>assessment of validation packages that demonstrate the performance of pathogen reduction technologies.</w:t>
      </w:r>
    </w:p>
    <w:p w14:paraId="721B3EC6" w14:textId="77777777" w:rsidR="00D252E4" w:rsidRDefault="00D252E4" w:rsidP="00D252E4">
      <w:pPr>
        <w:spacing w:after="0"/>
        <w:jc w:val="both"/>
        <w:rPr>
          <w:rFonts w:cstheme="minorHAnsi"/>
          <w:sz w:val="24"/>
          <w:szCs w:val="24"/>
          <w:lang w:val="en-GB"/>
        </w:rPr>
      </w:pPr>
    </w:p>
    <w:p w14:paraId="601D5F71" w14:textId="3416AEAA" w:rsidR="00DA26CA" w:rsidRPr="00111B5F" w:rsidRDefault="00740FD4" w:rsidP="009A297D">
      <w:pPr>
        <w:pStyle w:val="Heading2"/>
        <w:numPr>
          <w:ilvl w:val="1"/>
          <w:numId w:val="16"/>
        </w:numPr>
      </w:pPr>
      <w:bookmarkStart w:id="20" w:name="_Toc41427159"/>
      <w:r w:rsidRPr="00111B5F">
        <w:t>V</w:t>
      </w:r>
      <w:r w:rsidR="00DA26CA" w:rsidRPr="00111B5F">
        <w:t>alidation</w:t>
      </w:r>
      <w:r w:rsidRPr="00111B5F">
        <w:t xml:space="preserve"> </w:t>
      </w:r>
      <w:r w:rsidR="00111B5F" w:rsidRPr="00111B5F">
        <w:t>requirements depend</w:t>
      </w:r>
      <w:r w:rsidRPr="00111B5F">
        <w:t xml:space="preserve"> on</w:t>
      </w:r>
      <w:r w:rsidR="00791611" w:rsidRPr="00111B5F">
        <w:t xml:space="preserve"> </w:t>
      </w:r>
      <w:r w:rsidRPr="00111B5F">
        <w:t xml:space="preserve">the type of </w:t>
      </w:r>
      <w:r w:rsidR="00791611" w:rsidRPr="00111B5F">
        <w:t>PRT</w:t>
      </w:r>
      <w:bookmarkEnd w:id="20"/>
      <w:r w:rsidR="00791611" w:rsidRPr="00111B5F">
        <w:t xml:space="preserve"> </w:t>
      </w:r>
    </w:p>
    <w:p w14:paraId="08166110" w14:textId="16BFAF2B" w:rsidR="002402E2" w:rsidRPr="002402E2" w:rsidRDefault="006A6026" w:rsidP="006A6026">
      <w:pPr>
        <w:spacing w:before="240"/>
        <w:jc w:val="both"/>
        <w:rPr>
          <w:rFonts w:cstheme="minorHAnsi"/>
          <w:sz w:val="24"/>
          <w:szCs w:val="24"/>
          <w:lang w:val="en-GB"/>
        </w:rPr>
      </w:pPr>
      <w:r w:rsidRPr="00F1254F">
        <w:rPr>
          <w:rFonts w:cstheme="minorHAnsi"/>
          <w:sz w:val="24"/>
          <w:szCs w:val="24"/>
        </w:rPr>
        <w:t xml:space="preserve">According to the </w:t>
      </w:r>
      <w:r w:rsidR="00574515" w:rsidRPr="00F1254F">
        <w:rPr>
          <w:rFonts w:cstheme="minorHAnsi"/>
          <w:sz w:val="24"/>
          <w:szCs w:val="24"/>
        </w:rPr>
        <w:t>Blood</w:t>
      </w:r>
      <w:r w:rsidRPr="00F1254F">
        <w:rPr>
          <w:rFonts w:cstheme="minorHAnsi"/>
          <w:sz w:val="24"/>
          <w:szCs w:val="24"/>
        </w:rPr>
        <w:t xml:space="preserve"> Directive 2005/62</w:t>
      </w:r>
      <w:r w:rsidR="00574515" w:rsidRPr="00F1254F">
        <w:rPr>
          <w:rFonts w:cstheme="minorHAnsi"/>
          <w:sz w:val="24"/>
          <w:szCs w:val="24"/>
        </w:rPr>
        <w:t xml:space="preserve"> </w:t>
      </w:r>
      <w:r w:rsidRPr="00F1254F">
        <w:rPr>
          <w:rFonts w:cstheme="minorHAnsi"/>
          <w:sz w:val="24"/>
          <w:szCs w:val="24"/>
        </w:rPr>
        <w:t>(</w:t>
      </w:r>
      <w:r w:rsidR="00574515" w:rsidRPr="00F1254F">
        <w:rPr>
          <w:rFonts w:cstheme="minorHAnsi"/>
          <w:sz w:val="24"/>
          <w:szCs w:val="24"/>
        </w:rPr>
        <w:t>Annex, 6.4)</w:t>
      </w:r>
      <w:r w:rsidRPr="00F1254F">
        <w:rPr>
          <w:rFonts w:cstheme="minorHAnsi"/>
          <w:sz w:val="24"/>
          <w:szCs w:val="24"/>
        </w:rPr>
        <w:t>, the processing of blood components shall be carried out using appropriate and validated procedures including measures to avoid the risk of contamination and microbial growth in the prepared blood components</w:t>
      </w:r>
      <w:r w:rsidR="009966B6">
        <w:rPr>
          <w:rFonts w:cstheme="minorHAnsi"/>
          <w:sz w:val="24"/>
          <w:szCs w:val="24"/>
        </w:rPr>
        <w:t xml:space="preserve"> (</w:t>
      </w:r>
      <w:r w:rsidR="009966B6" w:rsidRPr="00962D49">
        <w:rPr>
          <w:rFonts w:cstheme="minorHAnsi"/>
          <w:sz w:val="24"/>
          <w:szCs w:val="24"/>
        </w:rPr>
        <w:t>Ref. for T&amp;C Directives??</w:t>
      </w:r>
      <w:r w:rsidR="009966B6">
        <w:rPr>
          <w:rFonts w:cstheme="minorHAnsi"/>
          <w:sz w:val="24"/>
          <w:szCs w:val="24"/>
        </w:rPr>
        <w:t>)</w:t>
      </w:r>
      <w:r w:rsidRPr="00F1254F">
        <w:rPr>
          <w:rFonts w:cstheme="minorHAnsi"/>
          <w:sz w:val="24"/>
          <w:szCs w:val="24"/>
        </w:rPr>
        <w:t>.</w:t>
      </w:r>
      <w:r w:rsidR="00574515" w:rsidRPr="00F1254F">
        <w:rPr>
          <w:rFonts w:cstheme="minorHAnsi"/>
          <w:sz w:val="24"/>
          <w:szCs w:val="24"/>
        </w:rPr>
        <w:t xml:space="preserve"> </w:t>
      </w:r>
      <w:r w:rsidR="00AF4868" w:rsidRPr="00F1254F">
        <w:rPr>
          <w:rFonts w:cstheme="minorHAnsi"/>
          <w:sz w:val="24"/>
          <w:szCs w:val="24"/>
        </w:rPr>
        <w:t>T</w:t>
      </w:r>
      <w:r w:rsidRPr="00F1254F">
        <w:rPr>
          <w:rFonts w:cstheme="minorHAnsi"/>
          <w:sz w:val="24"/>
          <w:szCs w:val="24"/>
        </w:rPr>
        <w:t>hus</w:t>
      </w:r>
      <w:r>
        <w:rPr>
          <w:rFonts w:cstheme="minorHAnsi"/>
          <w:sz w:val="24"/>
          <w:szCs w:val="24"/>
        </w:rPr>
        <w:t xml:space="preserve">, </w:t>
      </w:r>
      <w:r w:rsidR="002402E2" w:rsidRPr="002402E2">
        <w:rPr>
          <w:rFonts w:cstheme="minorHAnsi"/>
          <w:sz w:val="24"/>
          <w:szCs w:val="24"/>
        </w:rPr>
        <w:t xml:space="preserve">PRT </w:t>
      </w:r>
      <w:r w:rsidR="002402E2" w:rsidRPr="002402E2">
        <w:rPr>
          <w:rFonts w:cstheme="minorHAnsi"/>
          <w:sz w:val="24"/>
          <w:szCs w:val="24"/>
          <w:lang w:val="en-GB"/>
        </w:rPr>
        <w:t xml:space="preserve">need to be validated before used at processing of BTCs in order to provide evidence that a chosen PRT process is fit for purpose and can reliably decrease the number of micro-organisms in a given BTC. </w:t>
      </w:r>
    </w:p>
    <w:p w14:paraId="6A38845E" w14:textId="075A8CAC" w:rsidR="00903F52" w:rsidRPr="00E14801" w:rsidRDefault="00903F52" w:rsidP="00F43134">
      <w:pPr>
        <w:spacing w:before="240"/>
        <w:jc w:val="both"/>
        <w:rPr>
          <w:rFonts w:cstheme="minorHAnsi"/>
          <w:sz w:val="24"/>
          <w:szCs w:val="24"/>
          <w:lang w:val="en-GB"/>
        </w:rPr>
      </w:pPr>
      <w:r w:rsidRPr="00E14801">
        <w:rPr>
          <w:rFonts w:cstheme="minorHAnsi"/>
          <w:sz w:val="24"/>
          <w:szCs w:val="24"/>
          <w:lang w:val="en-GB"/>
        </w:rPr>
        <w:t xml:space="preserve">Some PRT are already </w:t>
      </w:r>
      <w:r w:rsidR="00AE08B2" w:rsidRPr="00111B5F">
        <w:rPr>
          <w:rFonts w:cstheme="minorHAnsi"/>
          <w:sz w:val="24"/>
          <w:szCs w:val="24"/>
          <w:lang w:val="en-GB"/>
        </w:rPr>
        <w:t>acknowledged</w:t>
      </w:r>
      <w:r w:rsidR="00AE08B2">
        <w:rPr>
          <w:rFonts w:cstheme="minorHAnsi"/>
          <w:sz w:val="24"/>
          <w:szCs w:val="24"/>
          <w:lang w:val="en-GB"/>
        </w:rPr>
        <w:t xml:space="preserve"> and</w:t>
      </w:r>
      <w:r>
        <w:rPr>
          <w:rFonts w:cstheme="minorHAnsi"/>
          <w:sz w:val="24"/>
          <w:szCs w:val="24"/>
          <w:lang w:val="en-GB"/>
        </w:rPr>
        <w:t xml:space="preserve"> </w:t>
      </w:r>
      <w:r w:rsidRPr="00E14801">
        <w:rPr>
          <w:rFonts w:cstheme="minorHAnsi"/>
          <w:sz w:val="24"/>
          <w:szCs w:val="24"/>
          <w:lang w:val="en-GB"/>
        </w:rPr>
        <w:t xml:space="preserve">widely used (see </w:t>
      </w:r>
      <w:r w:rsidR="00BC403B">
        <w:rPr>
          <w:rFonts w:cstheme="minorHAnsi"/>
          <w:sz w:val="24"/>
          <w:szCs w:val="24"/>
          <w:lang w:val="en-GB"/>
        </w:rPr>
        <w:t>Table</w:t>
      </w:r>
      <w:r w:rsidRPr="00E14801">
        <w:rPr>
          <w:rFonts w:cstheme="minorHAnsi"/>
          <w:sz w:val="24"/>
          <w:szCs w:val="24"/>
          <w:lang w:val="en-GB"/>
        </w:rPr>
        <w:t xml:space="preserve"> X), </w:t>
      </w:r>
      <w:r>
        <w:rPr>
          <w:rFonts w:cstheme="minorHAnsi"/>
          <w:sz w:val="24"/>
          <w:szCs w:val="24"/>
          <w:lang w:val="en-GB"/>
        </w:rPr>
        <w:t>others</w:t>
      </w:r>
      <w:r w:rsidRPr="00E14801">
        <w:rPr>
          <w:rFonts w:cstheme="minorHAnsi"/>
          <w:sz w:val="24"/>
          <w:szCs w:val="24"/>
          <w:lang w:val="en-GB"/>
        </w:rPr>
        <w:t xml:space="preserve"> are just under development</w:t>
      </w:r>
      <w:r w:rsidR="00791611">
        <w:rPr>
          <w:rFonts w:cstheme="minorHAnsi"/>
          <w:sz w:val="24"/>
          <w:szCs w:val="24"/>
          <w:lang w:val="en-GB"/>
        </w:rPr>
        <w:t xml:space="preserve"> </w:t>
      </w:r>
      <w:r w:rsidR="00925B71">
        <w:rPr>
          <w:rFonts w:cstheme="minorHAnsi"/>
          <w:sz w:val="24"/>
          <w:szCs w:val="24"/>
          <w:lang w:val="en-GB"/>
        </w:rPr>
        <w:t xml:space="preserve">or </w:t>
      </w:r>
      <w:r w:rsidR="002F09A9">
        <w:rPr>
          <w:rFonts w:cstheme="minorHAnsi"/>
          <w:sz w:val="24"/>
          <w:szCs w:val="24"/>
          <w:lang w:val="en-GB"/>
        </w:rPr>
        <w:t>in house</w:t>
      </w:r>
      <w:r w:rsidR="00791611">
        <w:rPr>
          <w:rFonts w:cstheme="minorHAnsi"/>
          <w:sz w:val="24"/>
          <w:szCs w:val="24"/>
          <w:lang w:val="en-GB"/>
        </w:rPr>
        <w:t xml:space="preserve"> PRT systems</w:t>
      </w:r>
      <w:r w:rsidR="00111B5F">
        <w:rPr>
          <w:rFonts w:cstheme="minorHAnsi"/>
          <w:sz w:val="24"/>
          <w:szCs w:val="24"/>
          <w:lang w:val="en-GB"/>
        </w:rPr>
        <w:t xml:space="preserve">, meaning that they are </w:t>
      </w:r>
      <w:r w:rsidR="003E243B">
        <w:rPr>
          <w:rFonts w:cstheme="minorHAnsi"/>
          <w:sz w:val="24"/>
          <w:szCs w:val="24"/>
          <w:lang w:val="en-GB"/>
        </w:rPr>
        <w:t xml:space="preserve">developed </w:t>
      </w:r>
      <w:r w:rsidR="00111B5F">
        <w:rPr>
          <w:rFonts w:cstheme="minorHAnsi"/>
          <w:sz w:val="24"/>
          <w:szCs w:val="24"/>
          <w:lang w:val="en-GB"/>
        </w:rPr>
        <w:t xml:space="preserve">and used only </w:t>
      </w:r>
      <w:r w:rsidR="003E243B">
        <w:rPr>
          <w:rFonts w:cstheme="minorHAnsi"/>
          <w:sz w:val="24"/>
          <w:szCs w:val="24"/>
          <w:lang w:val="en-GB"/>
        </w:rPr>
        <w:t>in the BE/TE/la</w:t>
      </w:r>
      <w:r w:rsidR="00111B5F">
        <w:rPr>
          <w:rFonts w:cstheme="minorHAnsi"/>
          <w:sz w:val="24"/>
          <w:szCs w:val="24"/>
          <w:lang w:val="en-GB"/>
        </w:rPr>
        <w:t>boratory in question</w:t>
      </w:r>
      <w:r w:rsidRPr="00E14801">
        <w:rPr>
          <w:rFonts w:cstheme="minorHAnsi"/>
          <w:sz w:val="24"/>
          <w:szCs w:val="24"/>
          <w:lang w:val="en-GB"/>
        </w:rPr>
        <w:t>.</w:t>
      </w:r>
      <w:r>
        <w:rPr>
          <w:rFonts w:cstheme="minorHAnsi"/>
          <w:sz w:val="24"/>
          <w:szCs w:val="24"/>
          <w:lang w:val="en-GB"/>
        </w:rPr>
        <w:t xml:space="preserve"> </w:t>
      </w:r>
      <w:r w:rsidR="00AE08B2">
        <w:rPr>
          <w:rFonts w:cstheme="minorHAnsi"/>
          <w:sz w:val="24"/>
          <w:szCs w:val="24"/>
          <w:lang w:val="en-GB"/>
        </w:rPr>
        <w:t xml:space="preserve">For blood products, acknowledged PRT are in many cases authorized by CA and commercial products. </w:t>
      </w:r>
      <w:r w:rsidR="00571D84">
        <w:rPr>
          <w:rFonts w:cstheme="minorHAnsi"/>
          <w:sz w:val="24"/>
          <w:szCs w:val="24"/>
          <w:lang w:val="en-GB"/>
        </w:rPr>
        <w:t>At the time of writing this guidance</w:t>
      </w:r>
      <w:r w:rsidR="00F43134" w:rsidRPr="00F43134">
        <w:rPr>
          <w:rFonts w:cstheme="minorHAnsi"/>
          <w:sz w:val="24"/>
          <w:szCs w:val="24"/>
          <w:lang w:val="en-GB"/>
        </w:rPr>
        <w:t>, it has not been possible to</w:t>
      </w:r>
      <w:r w:rsidR="00F43134">
        <w:rPr>
          <w:rFonts w:cstheme="minorHAnsi"/>
          <w:sz w:val="24"/>
          <w:szCs w:val="24"/>
          <w:lang w:val="en-GB"/>
        </w:rPr>
        <w:t xml:space="preserve"> </w:t>
      </w:r>
      <w:r w:rsidR="00F43134" w:rsidRPr="00F43134">
        <w:rPr>
          <w:rFonts w:cstheme="minorHAnsi"/>
          <w:sz w:val="24"/>
          <w:szCs w:val="24"/>
          <w:lang w:val="en-GB"/>
        </w:rPr>
        <w:t>treat whole blood donations, so blood must be separated into its component</w:t>
      </w:r>
      <w:r w:rsidR="00F43134">
        <w:rPr>
          <w:rFonts w:cstheme="minorHAnsi"/>
          <w:sz w:val="24"/>
          <w:szCs w:val="24"/>
          <w:lang w:val="en-GB"/>
        </w:rPr>
        <w:t xml:space="preserve"> </w:t>
      </w:r>
      <w:r w:rsidR="00F43134" w:rsidRPr="00F43134">
        <w:rPr>
          <w:rFonts w:cstheme="minorHAnsi"/>
          <w:sz w:val="24"/>
          <w:szCs w:val="24"/>
          <w:lang w:val="en-GB"/>
        </w:rPr>
        <w:t>parts before use of PRT</w:t>
      </w:r>
      <w:r w:rsidR="00F43134">
        <w:rPr>
          <w:rFonts w:cstheme="minorHAnsi"/>
          <w:sz w:val="24"/>
          <w:szCs w:val="24"/>
          <w:lang w:val="en-GB"/>
        </w:rPr>
        <w:t xml:space="preserve"> (EDQM Blood Guide)</w:t>
      </w:r>
      <w:r w:rsidR="00F43134" w:rsidRPr="00F43134">
        <w:rPr>
          <w:rFonts w:cstheme="minorHAnsi"/>
          <w:sz w:val="24"/>
          <w:szCs w:val="24"/>
          <w:lang w:val="en-GB"/>
        </w:rPr>
        <w:t>.</w:t>
      </w:r>
      <w:r w:rsidR="00F43134">
        <w:rPr>
          <w:rFonts w:cstheme="minorHAnsi"/>
          <w:sz w:val="24"/>
          <w:szCs w:val="24"/>
          <w:lang w:val="en-GB"/>
        </w:rPr>
        <w:t xml:space="preserve"> </w:t>
      </w:r>
      <w:r w:rsidR="00AE08B2">
        <w:rPr>
          <w:rFonts w:cstheme="minorHAnsi"/>
          <w:sz w:val="24"/>
          <w:szCs w:val="24"/>
          <w:lang w:val="en-GB"/>
        </w:rPr>
        <w:t>For tissues and cells</w:t>
      </w:r>
      <w:r w:rsidR="00AE08B2" w:rsidRPr="00111B5F">
        <w:rPr>
          <w:rFonts w:cstheme="minorHAnsi"/>
          <w:sz w:val="24"/>
          <w:szCs w:val="24"/>
          <w:lang w:val="en-GB"/>
        </w:rPr>
        <w:t>, acknowledged</w:t>
      </w:r>
      <w:r w:rsidR="00AE08B2">
        <w:rPr>
          <w:rFonts w:cstheme="minorHAnsi"/>
          <w:sz w:val="24"/>
          <w:szCs w:val="24"/>
          <w:lang w:val="en-GB"/>
        </w:rPr>
        <w:t xml:space="preserve"> PRT are not necessarily commercial products but acknowledged protocols. </w:t>
      </w:r>
      <w:r>
        <w:rPr>
          <w:rFonts w:cstheme="minorHAnsi"/>
          <w:sz w:val="24"/>
          <w:szCs w:val="24"/>
          <w:lang w:val="en-GB"/>
        </w:rPr>
        <w:t>Validation requirements in these two cases ar</w:t>
      </w:r>
      <w:r w:rsidR="00184444">
        <w:rPr>
          <w:rFonts w:cstheme="minorHAnsi"/>
          <w:sz w:val="24"/>
          <w:szCs w:val="24"/>
          <w:lang w:val="en-GB"/>
        </w:rPr>
        <w:t>e different and described below:</w:t>
      </w:r>
    </w:p>
    <w:p w14:paraId="3861510F" w14:textId="213173E1" w:rsidR="00A45ED9" w:rsidRPr="000627F9" w:rsidRDefault="009B593F" w:rsidP="009A297D">
      <w:pPr>
        <w:pStyle w:val="ListParagraph"/>
        <w:numPr>
          <w:ilvl w:val="0"/>
          <w:numId w:val="2"/>
        </w:numPr>
        <w:jc w:val="both"/>
        <w:rPr>
          <w:rFonts w:cstheme="minorHAnsi"/>
          <w:sz w:val="24"/>
          <w:szCs w:val="24"/>
        </w:rPr>
      </w:pPr>
      <w:r>
        <w:rPr>
          <w:rFonts w:cstheme="minorHAnsi"/>
          <w:b/>
          <w:sz w:val="24"/>
          <w:szCs w:val="24"/>
        </w:rPr>
        <w:t>On-site v</w:t>
      </w:r>
      <w:r w:rsidR="00F5770F" w:rsidRPr="00A45ED9">
        <w:rPr>
          <w:rFonts w:cstheme="minorHAnsi"/>
          <w:b/>
          <w:sz w:val="24"/>
          <w:szCs w:val="24"/>
        </w:rPr>
        <w:t xml:space="preserve">alidation of </w:t>
      </w:r>
      <w:r w:rsidR="00AE08B2">
        <w:rPr>
          <w:rFonts w:cstheme="minorHAnsi"/>
          <w:b/>
          <w:sz w:val="24"/>
          <w:szCs w:val="24"/>
        </w:rPr>
        <w:t>acknowledged</w:t>
      </w:r>
      <w:r w:rsidR="00F5770F" w:rsidRPr="00A45ED9">
        <w:rPr>
          <w:rFonts w:cstheme="minorHAnsi"/>
          <w:b/>
          <w:sz w:val="24"/>
          <w:szCs w:val="24"/>
        </w:rPr>
        <w:t xml:space="preserve"> PRT systems</w:t>
      </w:r>
      <w:r w:rsidR="00184444" w:rsidRPr="00A45ED9">
        <w:rPr>
          <w:rFonts w:cstheme="minorHAnsi"/>
          <w:b/>
          <w:sz w:val="24"/>
          <w:szCs w:val="24"/>
        </w:rPr>
        <w:t xml:space="preserve">. </w:t>
      </w:r>
      <w:r w:rsidR="00F5770F" w:rsidRPr="00A45ED9">
        <w:rPr>
          <w:rFonts w:cstheme="minorHAnsi"/>
          <w:sz w:val="24"/>
          <w:szCs w:val="24"/>
        </w:rPr>
        <w:t xml:space="preserve">A reduced validation strategy </w:t>
      </w:r>
      <w:r w:rsidR="00C46A15" w:rsidRPr="00A45ED9">
        <w:rPr>
          <w:rFonts w:cstheme="minorHAnsi"/>
          <w:sz w:val="24"/>
          <w:szCs w:val="24"/>
        </w:rPr>
        <w:t>is usually</w:t>
      </w:r>
      <w:r w:rsidR="000E6246" w:rsidRPr="00A45ED9">
        <w:rPr>
          <w:rFonts w:cstheme="minorHAnsi"/>
          <w:sz w:val="24"/>
          <w:szCs w:val="24"/>
        </w:rPr>
        <w:t xml:space="preserve"> sufficient when using a</w:t>
      </w:r>
      <w:r w:rsidR="00F5770F" w:rsidRPr="00A45ED9">
        <w:rPr>
          <w:rFonts w:cstheme="minorHAnsi"/>
          <w:sz w:val="24"/>
          <w:szCs w:val="24"/>
        </w:rPr>
        <w:t xml:space="preserve"> </w:t>
      </w:r>
      <w:r w:rsidR="000E6246" w:rsidRPr="00A45ED9">
        <w:rPr>
          <w:rFonts w:cstheme="minorHAnsi"/>
          <w:sz w:val="24"/>
          <w:szCs w:val="24"/>
        </w:rPr>
        <w:t xml:space="preserve">PRT system/device that has </w:t>
      </w:r>
      <w:r w:rsidR="004E4501" w:rsidRPr="00A45ED9">
        <w:rPr>
          <w:rFonts w:cstheme="minorHAnsi"/>
          <w:sz w:val="24"/>
          <w:szCs w:val="24"/>
        </w:rPr>
        <w:t xml:space="preserve">already </w:t>
      </w:r>
      <w:r w:rsidR="000E6246" w:rsidRPr="00A45ED9">
        <w:rPr>
          <w:rFonts w:cstheme="minorHAnsi"/>
          <w:sz w:val="24"/>
          <w:szCs w:val="24"/>
        </w:rPr>
        <w:t xml:space="preserve">been </w:t>
      </w:r>
      <w:r w:rsidR="004E4501" w:rsidRPr="00A45ED9">
        <w:rPr>
          <w:rFonts w:cstheme="minorHAnsi"/>
          <w:sz w:val="24"/>
          <w:szCs w:val="24"/>
        </w:rPr>
        <w:t>authorized</w:t>
      </w:r>
      <w:r w:rsidR="00C46A15" w:rsidRPr="00A45ED9">
        <w:rPr>
          <w:rFonts w:cstheme="minorHAnsi"/>
          <w:sz w:val="24"/>
          <w:szCs w:val="24"/>
        </w:rPr>
        <w:t xml:space="preserve"> by a </w:t>
      </w:r>
      <w:r w:rsidR="002E62EE">
        <w:rPr>
          <w:rFonts w:cstheme="minorHAnsi"/>
          <w:sz w:val="24"/>
          <w:szCs w:val="24"/>
        </w:rPr>
        <w:t xml:space="preserve">relevant </w:t>
      </w:r>
      <w:r w:rsidR="00C46A15" w:rsidRPr="00A45ED9">
        <w:rPr>
          <w:rFonts w:cstheme="minorHAnsi"/>
          <w:sz w:val="24"/>
          <w:szCs w:val="24"/>
        </w:rPr>
        <w:t>CA and recognised in EU</w:t>
      </w:r>
      <w:r w:rsidR="002E2B3C">
        <w:rPr>
          <w:rFonts w:cstheme="minorHAnsi"/>
          <w:sz w:val="24"/>
          <w:szCs w:val="24"/>
        </w:rPr>
        <w:t xml:space="preserve"> (CE marked</w:t>
      </w:r>
      <w:r w:rsidR="00B93E62">
        <w:rPr>
          <w:rFonts w:cstheme="minorHAnsi"/>
          <w:sz w:val="24"/>
          <w:szCs w:val="24"/>
        </w:rPr>
        <w:t xml:space="preserve"> devices </w:t>
      </w:r>
      <w:r w:rsidR="002E62EE">
        <w:rPr>
          <w:rFonts w:cstheme="minorHAnsi"/>
          <w:sz w:val="24"/>
          <w:szCs w:val="24"/>
        </w:rPr>
        <w:t xml:space="preserve">for e.g. platelets </w:t>
      </w:r>
      <w:r w:rsidR="00B93E62">
        <w:rPr>
          <w:rFonts w:cstheme="minorHAnsi"/>
          <w:sz w:val="24"/>
          <w:szCs w:val="24"/>
        </w:rPr>
        <w:t xml:space="preserve">or routinely used </w:t>
      </w:r>
      <w:r w:rsidR="002E62EE">
        <w:rPr>
          <w:rFonts w:cstheme="minorHAnsi"/>
          <w:sz w:val="24"/>
          <w:szCs w:val="24"/>
        </w:rPr>
        <w:t>systems for e.g. plasma</w:t>
      </w:r>
      <w:r w:rsidR="00B02E9D">
        <w:rPr>
          <w:rFonts w:cstheme="minorHAnsi"/>
          <w:sz w:val="24"/>
          <w:szCs w:val="24"/>
        </w:rPr>
        <w:t xml:space="preserve"> components</w:t>
      </w:r>
      <w:r w:rsidR="002E2B3C">
        <w:rPr>
          <w:rFonts w:cstheme="minorHAnsi"/>
          <w:sz w:val="24"/>
          <w:szCs w:val="24"/>
        </w:rPr>
        <w:t>)</w:t>
      </w:r>
      <w:r w:rsidR="00F5770F" w:rsidRPr="00A45ED9">
        <w:rPr>
          <w:rFonts w:cstheme="minorHAnsi"/>
          <w:sz w:val="24"/>
          <w:szCs w:val="24"/>
        </w:rPr>
        <w:t xml:space="preserve">. </w:t>
      </w:r>
      <w:r w:rsidR="00684991">
        <w:rPr>
          <w:rFonts w:cstheme="minorHAnsi"/>
          <w:sz w:val="24"/>
          <w:szCs w:val="24"/>
        </w:rPr>
        <w:t xml:space="preserve">Validation of PRT systems </w:t>
      </w:r>
      <w:r w:rsidR="000627F9" w:rsidRPr="000627F9">
        <w:rPr>
          <w:rFonts w:cstheme="minorHAnsi"/>
          <w:sz w:val="24"/>
          <w:szCs w:val="24"/>
        </w:rPr>
        <w:t>in accordance with published methods, or following</w:t>
      </w:r>
      <w:r w:rsidR="000627F9">
        <w:rPr>
          <w:rFonts w:cstheme="minorHAnsi"/>
          <w:sz w:val="24"/>
          <w:szCs w:val="24"/>
        </w:rPr>
        <w:t xml:space="preserve"> </w:t>
      </w:r>
      <w:r w:rsidR="000627F9" w:rsidRPr="000627F9">
        <w:rPr>
          <w:rFonts w:cstheme="minorHAnsi"/>
          <w:sz w:val="24"/>
          <w:szCs w:val="24"/>
        </w:rPr>
        <w:t>long-established practices using the same materials</w:t>
      </w:r>
      <w:r w:rsidR="000627F9">
        <w:rPr>
          <w:rFonts w:cstheme="minorHAnsi"/>
          <w:sz w:val="24"/>
          <w:szCs w:val="24"/>
        </w:rPr>
        <w:t xml:space="preserve"> </w:t>
      </w:r>
      <w:r w:rsidR="000627F9" w:rsidRPr="000627F9">
        <w:rPr>
          <w:rFonts w:cstheme="minorHAnsi"/>
          <w:sz w:val="24"/>
          <w:szCs w:val="24"/>
        </w:rPr>
        <w:t>and equipment, may rely on o</w:t>
      </w:r>
      <w:r w:rsidR="000627F9">
        <w:rPr>
          <w:rFonts w:cstheme="minorHAnsi"/>
          <w:sz w:val="24"/>
          <w:szCs w:val="24"/>
        </w:rPr>
        <w:t xml:space="preserve">ngoing </w:t>
      </w:r>
      <w:r w:rsidR="000627F9" w:rsidRPr="000627F9">
        <w:rPr>
          <w:rFonts w:cstheme="minorHAnsi"/>
          <w:sz w:val="24"/>
          <w:szCs w:val="24"/>
        </w:rPr>
        <w:t>quality control</w:t>
      </w:r>
      <w:r w:rsidR="000627F9">
        <w:rPr>
          <w:rFonts w:cstheme="minorHAnsi"/>
          <w:sz w:val="24"/>
          <w:szCs w:val="24"/>
        </w:rPr>
        <w:t xml:space="preserve"> </w:t>
      </w:r>
      <w:r w:rsidR="000627F9" w:rsidRPr="000627F9">
        <w:rPr>
          <w:rFonts w:cstheme="minorHAnsi"/>
          <w:sz w:val="24"/>
          <w:szCs w:val="24"/>
        </w:rPr>
        <w:t>and periodic reviews to confirm that the method has</w:t>
      </w:r>
      <w:r w:rsidR="000627F9">
        <w:rPr>
          <w:rFonts w:cstheme="minorHAnsi"/>
          <w:sz w:val="24"/>
          <w:szCs w:val="24"/>
        </w:rPr>
        <w:t xml:space="preserve"> </w:t>
      </w:r>
      <w:r w:rsidR="00684991">
        <w:rPr>
          <w:rFonts w:cstheme="minorHAnsi"/>
          <w:sz w:val="24"/>
          <w:szCs w:val="24"/>
        </w:rPr>
        <w:t xml:space="preserve">the intended outcome </w:t>
      </w:r>
      <w:r w:rsidR="005D3710">
        <w:rPr>
          <w:rFonts w:cstheme="minorHAnsi"/>
          <w:sz w:val="24"/>
          <w:szCs w:val="24"/>
        </w:rPr>
        <w:t>(</w:t>
      </w:r>
      <w:r w:rsidR="00CE671D">
        <w:rPr>
          <w:rFonts w:cstheme="minorHAnsi"/>
          <w:sz w:val="24"/>
          <w:szCs w:val="24"/>
        </w:rPr>
        <w:t>EDQM T&amp;C Guide, chapter 2.1</w:t>
      </w:r>
      <w:r w:rsidR="00AC2B90">
        <w:rPr>
          <w:rFonts w:cstheme="minorHAnsi"/>
          <w:sz w:val="24"/>
          <w:szCs w:val="24"/>
        </w:rPr>
        <w:t>6</w:t>
      </w:r>
      <w:r w:rsidR="00D26288">
        <w:rPr>
          <w:rFonts w:cstheme="minorHAnsi"/>
          <w:sz w:val="24"/>
          <w:szCs w:val="24"/>
        </w:rPr>
        <w:t>.1.). F</w:t>
      </w:r>
      <w:r w:rsidR="00903F52" w:rsidRPr="000627F9">
        <w:rPr>
          <w:rFonts w:cstheme="minorHAnsi"/>
          <w:sz w:val="24"/>
          <w:szCs w:val="24"/>
        </w:rPr>
        <w:t xml:space="preserve">or example spiking studies </w:t>
      </w:r>
      <w:r w:rsidR="002B073A">
        <w:rPr>
          <w:rFonts w:cstheme="minorHAnsi"/>
          <w:sz w:val="24"/>
          <w:szCs w:val="24"/>
        </w:rPr>
        <w:t xml:space="preserve">(see later) </w:t>
      </w:r>
      <w:r w:rsidR="00C46A15" w:rsidRPr="000627F9">
        <w:rPr>
          <w:rFonts w:cstheme="minorHAnsi"/>
          <w:sz w:val="24"/>
          <w:szCs w:val="24"/>
        </w:rPr>
        <w:t>do not need</w:t>
      </w:r>
      <w:r w:rsidR="00903F52" w:rsidRPr="000627F9">
        <w:rPr>
          <w:rFonts w:cstheme="minorHAnsi"/>
          <w:sz w:val="24"/>
          <w:szCs w:val="24"/>
        </w:rPr>
        <w:t xml:space="preserve"> </w:t>
      </w:r>
      <w:r w:rsidR="00C46A15" w:rsidRPr="000627F9">
        <w:rPr>
          <w:rFonts w:cstheme="minorHAnsi"/>
          <w:sz w:val="24"/>
          <w:szCs w:val="24"/>
        </w:rPr>
        <w:t>to</w:t>
      </w:r>
      <w:r w:rsidR="00903F52" w:rsidRPr="000627F9">
        <w:rPr>
          <w:rFonts w:cstheme="minorHAnsi"/>
          <w:sz w:val="24"/>
          <w:szCs w:val="24"/>
        </w:rPr>
        <w:t xml:space="preserve"> be </w:t>
      </w:r>
      <w:r w:rsidR="00684991">
        <w:rPr>
          <w:rFonts w:cstheme="minorHAnsi"/>
          <w:sz w:val="24"/>
          <w:szCs w:val="24"/>
        </w:rPr>
        <w:t>performed</w:t>
      </w:r>
      <w:r w:rsidR="00903F52" w:rsidRPr="000627F9">
        <w:rPr>
          <w:rFonts w:cstheme="minorHAnsi"/>
          <w:sz w:val="24"/>
          <w:szCs w:val="24"/>
        </w:rPr>
        <w:t xml:space="preserve">. </w:t>
      </w:r>
      <w:r w:rsidR="00F5770F" w:rsidRPr="000627F9">
        <w:rPr>
          <w:rFonts w:cstheme="minorHAnsi"/>
          <w:sz w:val="24"/>
          <w:szCs w:val="24"/>
        </w:rPr>
        <w:t xml:space="preserve">Both </w:t>
      </w:r>
      <w:r w:rsidR="00F5770F" w:rsidRPr="000627F9">
        <w:rPr>
          <w:rFonts w:cstheme="minorHAnsi"/>
          <w:sz w:val="24"/>
          <w:szCs w:val="24"/>
        </w:rPr>
        <w:lastRenderedPageBreak/>
        <w:t xml:space="preserve">data from the PRT supplier as well as relevant literature can be referred to. A comprehensive assessment of the relevance of these data </w:t>
      </w:r>
      <w:r w:rsidR="00903F52" w:rsidRPr="000627F9">
        <w:rPr>
          <w:rFonts w:cstheme="minorHAnsi"/>
          <w:sz w:val="24"/>
          <w:szCs w:val="24"/>
        </w:rPr>
        <w:t xml:space="preserve">by the BE/TE </w:t>
      </w:r>
      <w:r w:rsidR="00F5770F" w:rsidRPr="000627F9">
        <w:rPr>
          <w:rFonts w:cstheme="minorHAnsi"/>
          <w:sz w:val="24"/>
          <w:szCs w:val="24"/>
        </w:rPr>
        <w:t xml:space="preserve">is required to ensure it is directly applicable to the treatment process to be used and the operational conditions at the site. </w:t>
      </w:r>
      <w:r w:rsidR="005A0B08" w:rsidRPr="000627F9">
        <w:rPr>
          <w:rFonts w:cstheme="minorHAnsi"/>
          <w:sz w:val="24"/>
          <w:szCs w:val="24"/>
        </w:rPr>
        <w:t>However, c</w:t>
      </w:r>
      <w:r w:rsidR="00F5770F" w:rsidRPr="000627F9">
        <w:rPr>
          <w:rFonts w:cstheme="minorHAnsi"/>
          <w:sz w:val="24"/>
          <w:szCs w:val="24"/>
        </w:rPr>
        <w:t xml:space="preserve">hanges in sample processing procedures, instruments and equipment or the </w:t>
      </w:r>
      <w:r w:rsidR="00903F52" w:rsidRPr="000627F9">
        <w:rPr>
          <w:rFonts w:cstheme="minorHAnsi"/>
          <w:sz w:val="24"/>
          <w:szCs w:val="24"/>
        </w:rPr>
        <w:t>BTC</w:t>
      </w:r>
      <w:r w:rsidR="00F5770F" w:rsidRPr="000627F9">
        <w:rPr>
          <w:rFonts w:cstheme="minorHAnsi"/>
          <w:sz w:val="24"/>
          <w:szCs w:val="24"/>
        </w:rPr>
        <w:t xml:space="preserve"> itself should be partially validated.</w:t>
      </w:r>
      <w:r w:rsidR="00F5770F" w:rsidRPr="000627F9">
        <w:rPr>
          <w:rFonts w:cstheme="minorHAnsi"/>
          <w:b/>
          <w:sz w:val="24"/>
          <w:szCs w:val="24"/>
        </w:rPr>
        <w:t xml:space="preserve"> </w:t>
      </w:r>
    </w:p>
    <w:p w14:paraId="7AEF6FB5" w14:textId="64531242" w:rsidR="00F5770F" w:rsidRPr="00611978" w:rsidRDefault="00F5770F" w:rsidP="009A297D">
      <w:pPr>
        <w:pStyle w:val="ListParagraph"/>
        <w:numPr>
          <w:ilvl w:val="0"/>
          <w:numId w:val="2"/>
        </w:numPr>
        <w:jc w:val="both"/>
        <w:rPr>
          <w:rFonts w:cstheme="minorHAnsi"/>
          <w:b/>
          <w:sz w:val="24"/>
          <w:szCs w:val="24"/>
        </w:rPr>
      </w:pPr>
      <w:r w:rsidRPr="006A3FAD">
        <w:rPr>
          <w:b/>
          <w:sz w:val="24"/>
          <w:szCs w:val="24"/>
        </w:rPr>
        <w:t xml:space="preserve">Validation of </w:t>
      </w:r>
      <w:r w:rsidR="00C365F5">
        <w:rPr>
          <w:b/>
          <w:sz w:val="24"/>
          <w:szCs w:val="24"/>
        </w:rPr>
        <w:t xml:space="preserve">novel or </w:t>
      </w:r>
      <w:r w:rsidRPr="006A3FAD">
        <w:rPr>
          <w:b/>
          <w:sz w:val="24"/>
          <w:szCs w:val="24"/>
        </w:rPr>
        <w:t>in-house PRT systems</w:t>
      </w:r>
      <w:r w:rsidR="00184444" w:rsidRPr="006A3FAD">
        <w:rPr>
          <w:b/>
          <w:sz w:val="24"/>
          <w:szCs w:val="24"/>
        </w:rPr>
        <w:t>.</w:t>
      </w:r>
      <w:r w:rsidR="00184444" w:rsidRPr="006A3FAD">
        <w:rPr>
          <w:rFonts w:cstheme="minorHAnsi"/>
          <w:sz w:val="24"/>
          <w:szCs w:val="24"/>
          <w:lang w:val="en-GB"/>
        </w:rPr>
        <w:t xml:space="preserve"> </w:t>
      </w:r>
      <w:r w:rsidRPr="006A3FAD">
        <w:rPr>
          <w:rFonts w:cstheme="minorHAnsi"/>
          <w:sz w:val="24"/>
          <w:szCs w:val="24"/>
          <w:lang w:val="en-GB"/>
        </w:rPr>
        <w:t xml:space="preserve">The use of an in-house PRT requires an extensive validation, covering parameters of a primary validation study </w:t>
      </w:r>
      <w:r w:rsidR="006915DA" w:rsidRPr="006A3FAD">
        <w:rPr>
          <w:rFonts w:cstheme="minorHAnsi"/>
          <w:sz w:val="24"/>
          <w:szCs w:val="24"/>
          <w:lang w:val="en-GB"/>
        </w:rPr>
        <w:t>(</w:t>
      </w:r>
      <w:r w:rsidR="00F55AF8" w:rsidRPr="006A3FAD">
        <w:rPr>
          <w:rFonts w:cstheme="minorHAnsi"/>
          <w:sz w:val="24"/>
          <w:szCs w:val="24"/>
          <w:lang w:val="en-GB"/>
        </w:rPr>
        <w:t xml:space="preserve">Ph. Eur. 5.1.1., EMA/CHMP/CVMP/QWP/850374/2015). </w:t>
      </w:r>
      <w:r w:rsidRPr="006A3FAD">
        <w:rPr>
          <w:rFonts w:cstheme="minorHAnsi"/>
          <w:sz w:val="24"/>
          <w:szCs w:val="24"/>
          <w:lang w:val="en-GB"/>
        </w:rPr>
        <w:t xml:space="preserve">Aspects like </w:t>
      </w:r>
      <w:r w:rsidR="005D3710">
        <w:rPr>
          <w:rFonts w:cstheme="minorHAnsi"/>
          <w:sz w:val="24"/>
          <w:szCs w:val="24"/>
          <w:lang w:val="en-GB"/>
        </w:rPr>
        <w:t>pathogen reduction</w:t>
      </w:r>
      <w:r w:rsidRPr="006A3FAD">
        <w:rPr>
          <w:rFonts w:cstheme="minorHAnsi"/>
          <w:sz w:val="24"/>
          <w:szCs w:val="24"/>
          <w:lang w:val="en-GB"/>
        </w:rPr>
        <w:t xml:space="preserve"> limit/capacity, specificity and robustness sh</w:t>
      </w:r>
      <w:r w:rsidR="00157A65" w:rsidRPr="006A3FAD">
        <w:rPr>
          <w:rFonts w:cstheme="minorHAnsi"/>
          <w:sz w:val="24"/>
          <w:szCs w:val="24"/>
          <w:lang w:val="en-GB"/>
        </w:rPr>
        <w:t>ould be addressed.</w:t>
      </w:r>
      <w:r w:rsidRPr="006A3FAD">
        <w:rPr>
          <w:rFonts w:cstheme="minorHAnsi"/>
          <w:sz w:val="24"/>
          <w:szCs w:val="24"/>
          <w:lang w:val="en-GB"/>
        </w:rPr>
        <w:t xml:space="preserve"> </w:t>
      </w:r>
      <w:r w:rsidR="00157A65" w:rsidRPr="006A3FAD">
        <w:rPr>
          <w:rFonts w:cstheme="minorHAnsi"/>
          <w:sz w:val="24"/>
          <w:szCs w:val="24"/>
          <w:lang w:val="en-GB"/>
        </w:rPr>
        <w:t>The PRT systems should be validate</w:t>
      </w:r>
      <w:r w:rsidR="005D3710">
        <w:rPr>
          <w:rFonts w:cstheme="minorHAnsi"/>
          <w:sz w:val="24"/>
          <w:szCs w:val="24"/>
          <w:lang w:val="en-GB"/>
        </w:rPr>
        <w:t xml:space="preserve">d </w:t>
      </w:r>
      <w:r w:rsidR="009A3A2D">
        <w:rPr>
          <w:rFonts w:cstheme="minorHAnsi"/>
          <w:sz w:val="24"/>
          <w:szCs w:val="24"/>
          <w:lang w:val="en-GB"/>
        </w:rPr>
        <w:t>using “</w:t>
      </w:r>
      <w:r w:rsidR="005D3710">
        <w:rPr>
          <w:rFonts w:cstheme="minorHAnsi"/>
          <w:sz w:val="24"/>
          <w:szCs w:val="24"/>
          <w:lang w:val="en-GB"/>
        </w:rPr>
        <w:t>worst</w:t>
      </w:r>
      <w:r w:rsidR="009A3A2D">
        <w:rPr>
          <w:rFonts w:cstheme="minorHAnsi"/>
          <w:sz w:val="24"/>
          <w:szCs w:val="24"/>
          <w:lang w:val="en-GB"/>
        </w:rPr>
        <w:t xml:space="preserve"> case”</w:t>
      </w:r>
      <w:r w:rsidR="00157A65" w:rsidRPr="006A3FAD">
        <w:rPr>
          <w:rFonts w:cstheme="minorHAnsi"/>
          <w:sz w:val="24"/>
          <w:szCs w:val="24"/>
          <w:lang w:val="en-GB"/>
        </w:rPr>
        <w:t xml:space="preserve"> scenario. This will usually</w:t>
      </w:r>
      <w:r w:rsidR="00490D27" w:rsidRPr="006A3FAD">
        <w:rPr>
          <w:rFonts w:cstheme="minorHAnsi"/>
          <w:sz w:val="24"/>
          <w:szCs w:val="24"/>
          <w:lang w:val="en-GB"/>
        </w:rPr>
        <w:t xml:space="preserve"> involve spiking the material with a larger-than normal level of the undesirable micro-organisms and demonstrating its effective removal, or reduction to safe levels, by the process.</w:t>
      </w:r>
      <w:r w:rsidR="006A3FAD" w:rsidRPr="006A3FAD">
        <w:rPr>
          <w:rFonts w:cstheme="minorHAnsi"/>
          <w:sz w:val="24"/>
          <w:szCs w:val="24"/>
          <w:lang w:val="en-GB"/>
        </w:rPr>
        <w:t xml:space="preserve"> </w:t>
      </w:r>
      <w:r w:rsidR="006A3FAD">
        <w:rPr>
          <w:rFonts w:cstheme="minorHAnsi"/>
          <w:sz w:val="24"/>
          <w:szCs w:val="24"/>
          <w:lang w:val="en-GB"/>
        </w:rPr>
        <w:t>S</w:t>
      </w:r>
      <w:r w:rsidR="006A3FAD" w:rsidRPr="006A3FAD">
        <w:rPr>
          <w:rFonts w:cstheme="minorHAnsi"/>
          <w:sz w:val="24"/>
          <w:szCs w:val="24"/>
          <w:lang w:val="en-GB"/>
        </w:rPr>
        <w:t xml:space="preserve">trains </w:t>
      </w:r>
      <w:r w:rsidR="006A3FAD">
        <w:rPr>
          <w:rFonts w:cstheme="minorHAnsi"/>
          <w:sz w:val="24"/>
          <w:szCs w:val="24"/>
          <w:lang w:val="en-GB"/>
        </w:rPr>
        <w:t>of micro-organism</w:t>
      </w:r>
      <w:r w:rsidR="006A3FAD" w:rsidRPr="006A3FAD">
        <w:rPr>
          <w:rFonts w:cstheme="minorHAnsi"/>
          <w:sz w:val="24"/>
          <w:szCs w:val="24"/>
          <w:lang w:val="en-GB"/>
        </w:rPr>
        <w:t xml:space="preserve"> that are known to be resistant to antimicrobial treatment, e.g. spore-forming, heat-resistant bacteria, may be used for spiking</w:t>
      </w:r>
      <w:r w:rsidR="00491054">
        <w:rPr>
          <w:rFonts w:cstheme="minorHAnsi"/>
          <w:sz w:val="24"/>
          <w:szCs w:val="24"/>
          <w:lang w:val="en-GB"/>
        </w:rPr>
        <w:t xml:space="preserve"> (</w:t>
      </w:r>
      <w:r w:rsidR="00491054">
        <w:rPr>
          <w:rFonts w:cstheme="minorHAnsi"/>
          <w:sz w:val="24"/>
          <w:szCs w:val="24"/>
        </w:rPr>
        <w:t>EDQM T&amp;C Guide, chapter 2.1</w:t>
      </w:r>
      <w:r w:rsidR="00791611">
        <w:rPr>
          <w:rFonts w:cstheme="minorHAnsi"/>
          <w:sz w:val="24"/>
          <w:szCs w:val="24"/>
        </w:rPr>
        <w:t>6</w:t>
      </w:r>
      <w:r w:rsidR="00491054">
        <w:rPr>
          <w:rFonts w:cstheme="minorHAnsi"/>
          <w:sz w:val="24"/>
          <w:szCs w:val="24"/>
        </w:rPr>
        <w:t>.9.)</w:t>
      </w:r>
      <w:r w:rsidR="006A3FAD">
        <w:rPr>
          <w:rFonts w:cstheme="minorHAnsi"/>
          <w:sz w:val="24"/>
          <w:szCs w:val="24"/>
          <w:lang w:val="en-GB"/>
        </w:rPr>
        <w:t>.</w:t>
      </w:r>
    </w:p>
    <w:p w14:paraId="41DB50A2" w14:textId="75A8D66B" w:rsidR="00611978" w:rsidRPr="00611978" w:rsidRDefault="00611978" w:rsidP="00611978">
      <w:pPr>
        <w:rPr>
          <w:rFonts w:cstheme="minorHAnsi"/>
          <w:b/>
          <w:sz w:val="24"/>
          <w:szCs w:val="24"/>
        </w:rPr>
      </w:pPr>
      <w:r w:rsidRPr="00611978">
        <w:rPr>
          <w:rFonts w:cstheme="minorHAnsi"/>
          <w:b/>
          <w:sz w:val="24"/>
          <w:szCs w:val="24"/>
        </w:rPr>
        <w:t xml:space="preserve">Table X. </w:t>
      </w:r>
      <w:r w:rsidRPr="009054C9">
        <w:rPr>
          <w:rFonts w:cstheme="minorHAnsi"/>
          <w:sz w:val="24"/>
          <w:szCs w:val="24"/>
        </w:rPr>
        <w:t>Examples of existing Pathogen Reduction Technologies</w:t>
      </w:r>
      <w:r w:rsidR="009054C9">
        <w:rPr>
          <w:rFonts w:cstheme="minorHAnsi"/>
          <w:sz w:val="24"/>
          <w:szCs w:val="24"/>
        </w:rPr>
        <w:t>.</w:t>
      </w:r>
    </w:p>
    <w:tbl>
      <w:tblPr>
        <w:tblStyle w:val="TableGrid"/>
        <w:tblW w:w="0" w:type="auto"/>
        <w:tblLook w:val="04A0" w:firstRow="1" w:lastRow="0" w:firstColumn="1" w:lastColumn="0" w:noHBand="0" w:noVBand="1"/>
      </w:tblPr>
      <w:tblGrid>
        <w:gridCol w:w="3116"/>
        <w:gridCol w:w="3117"/>
        <w:gridCol w:w="3117"/>
      </w:tblGrid>
      <w:tr w:rsidR="00611978" w:rsidRPr="00E14801" w14:paraId="37875033" w14:textId="77777777" w:rsidTr="00521930">
        <w:tc>
          <w:tcPr>
            <w:tcW w:w="3116" w:type="dxa"/>
            <w:shd w:val="clear" w:color="auto" w:fill="DFE3E5" w:themeFill="background2"/>
          </w:tcPr>
          <w:p w14:paraId="15B139FC" w14:textId="77777777" w:rsidR="00611978" w:rsidRPr="009054C9" w:rsidRDefault="00611978" w:rsidP="00521930">
            <w:pPr>
              <w:spacing w:line="259" w:lineRule="auto"/>
              <w:rPr>
                <w:rFonts w:cstheme="minorHAnsi"/>
                <w:b/>
                <w:sz w:val="24"/>
                <w:szCs w:val="24"/>
              </w:rPr>
            </w:pPr>
            <w:r w:rsidRPr="009054C9">
              <w:rPr>
                <w:rFonts w:cstheme="minorHAnsi"/>
                <w:b/>
                <w:sz w:val="24"/>
                <w:szCs w:val="24"/>
              </w:rPr>
              <w:t>PRT mechanism</w:t>
            </w:r>
          </w:p>
        </w:tc>
        <w:tc>
          <w:tcPr>
            <w:tcW w:w="3117" w:type="dxa"/>
            <w:shd w:val="clear" w:color="auto" w:fill="DFE3E5" w:themeFill="background2"/>
          </w:tcPr>
          <w:p w14:paraId="4B0A37F0" w14:textId="77777777" w:rsidR="00611978" w:rsidRPr="009054C9" w:rsidRDefault="00611978" w:rsidP="00521930">
            <w:pPr>
              <w:spacing w:line="259" w:lineRule="auto"/>
              <w:rPr>
                <w:rFonts w:cstheme="minorHAnsi"/>
                <w:b/>
                <w:sz w:val="24"/>
                <w:szCs w:val="24"/>
              </w:rPr>
            </w:pPr>
            <w:r w:rsidRPr="009054C9">
              <w:rPr>
                <w:rFonts w:cstheme="minorHAnsi"/>
                <w:b/>
                <w:sz w:val="24"/>
                <w:szCs w:val="24"/>
              </w:rPr>
              <w:t>BTC for which is used</w:t>
            </w:r>
          </w:p>
        </w:tc>
        <w:tc>
          <w:tcPr>
            <w:tcW w:w="3117" w:type="dxa"/>
            <w:shd w:val="clear" w:color="auto" w:fill="DFE3E5" w:themeFill="background2"/>
          </w:tcPr>
          <w:p w14:paraId="6210BF49" w14:textId="77777777" w:rsidR="00611978" w:rsidRPr="009054C9" w:rsidRDefault="00611978" w:rsidP="00521930">
            <w:pPr>
              <w:spacing w:line="259" w:lineRule="auto"/>
              <w:rPr>
                <w:rFonts w:cstheme="minorHAnsi"/>
                <w:b/>
                <w:sz w:val="24"/>
                <w:szCs w:val="24"/>
              </w:rPr>
            </w:pPr>
            <w:commentRangeStart w:id="21"/>
            <w:r w:rsidRPr="009054C9">
              <w:rPr>
                <w:rFonts w:cstheme="minorHAnsi"/>
                <w:b/>
                <w:sz w:val="24"/>
                <w:szCs w:val="24"/>
              </w:rPr>
              <w:t>Specific considerations when assessing a validation study</w:t>
            </w:r>
            <w:commentRangeEnd w:id="21"/>
            <w:r w:rsidR="009054C9">
              <w:rPr>
                <w:rStyle w:val="CommentReference"/>
              </w:rPr>
              <w:commentReference w:id="21"/>
            </w:r>
          </w:p>
        </w:tc>
      </w:tr>
      <w:tr w:rsidR="00611978" w:rsidRPr="00E14801" w14:paraId="2CFE6D45" w14:textId="77777777" w:rsidTr="00521930">
        <w:tc>
          <w:tcPr>
            <w:tcW w:w="9350" w:type="dxa"/>
            <w:gridSpan w:val="3"/>
            <w:shd w:val="clear" w:color="auto" w:fill="F2F2F2" w:themeFill="background1" w:themeFillShade="F2"/>
          </w:tcPr>
          <w:p w14:paraId="5D1C97F5" w14:textId="77777777" w:rsidR="00611978" w:rsidRPr="00E14801" w:rsidRDefault="00611978" w:rsidP="00521930">
            <w:pPr>
              <w:spacing w:line="259" w:lineRule="auto"/>
              <w:rPr>
                <w:rFonts w:cstheme="minorHAnsi"/>
                <w:sz w:val="24"/>
                <w:szCs w:val="24"/>
              </w:rPr>
            </w:pPr>
            <w:r w:rsidRPr="00E14801">
              <w:rPr>
                <w:rFonts w:cstheme="minorHAnsi"/>
                <w:sz w:val="24"/>
                <w:szCs w:val="24"/>
              </w:rPr>
              <w:t>Blood products</w:t>
            </w:r>
          </w:p>
        </w:tc>
      </w:tr>
      <w:tr w:rsidR="00611978" w:rsidRPr="00E14801" w14:paraId="120D5347" w14:textId="77777777" w:rsidTr="00521930">
        <w:tc>
          <w:tcPr>
            <w:tcW w:w="3116" w:type="dxa"/>
          </w:tcPr>
          <w:p w14:paraId="37B2ACAF" w14:textId="77777777" w:rsidR="00611978" w:rsidRPr="00E14801" w:rsidRDefault="00611978" w:rsidP="00521930">
            <w:pPr>
              <w:spacing w:line="259" w:lineRule="auto"/>
              <w:rPr>
                <w:rFonts w:cstheme="minorHAnsi"/>
                <w:sz w:val="24"/>
                <w:szCs w:val="24"/>
              </w:rPr>
            </w:pPr>
            <w:r w:rsidRPr="00E14801">
              <w:rPr>
                <w:rFonts w:cstheme="minorHAnsi"/>
                <w:sz w:val="24"/>
                <w:szCs w:val="24"/>
              </w:rPr>
              <w:t>Amotosalen + UVA light (320-400 nm) (</w:t>
            </w:r>
            <w:commentRangeStart w:id="22"/>
            <w:r w:rsidRPr="00E14801">
              <w:rPr>
                <w:rFonts w:cstheme="minorHAnsi"/>
                <w:i/>
                <w:sz w:val="24"/>
                <w:szCs w:val="24"/>
              </w:rPr>
              <w:t>Intercept by Cerus</w:t>
            </w:r>
            <w:commentRangeEnd w:id="22"/>
            <w:r w:rsidRPr="00E14801">
              <w:rPr>
                <w:rStyle w:val="CommentReference"/>
                <w:rFonts w:cstheme="minorHAnsi"/>
                <w:sz w:val="24"/>
                <w:szCs w:val="24"/>
              </w:rPr>
              <w:commentReference w:id="22"/>
            </w:r>
            <w:r w:rsidRPr="00E14801">
              <w:rPr>
                <w:rFonts w:cstheme="minorHAnsi"/>
                <w:sz w:val="24"/>
                <w:szCs w:val="24"/>
              </w:rPr>
              <w:t>)</w:t>
            </w:r>
          </w:p>
        </w:tc>
        <w:tc>
          <w:tcPr>
            <w:tcW w:w="3117" w:type="dxa"/>
          </w:tcPr>
          <w:p w14:paraId="5C978D64" w14:textId="77777777" w:rsidR="00611978" w:rsidRPr="00E14801" w:rsidRDefault="00611978" w:rsidP="00521930">
            <w:pPr>
              <w:spacing w:line="259" w:lineRule="auto"/>
              <w:rPr>
                <w:rFonts w:cstheme="minorHAnsi"/>
                <w:sz w:val="24"/>
                <w:szCs w:val="24"/>
              </w:rPr>
            </w:pPr>
            <w:r w:rsidRPr="00E14801">
              <w:rPr>
                <w:rFonts w:cstheme="minorHAnsi"/>
                <w:sz w:val="24"/>
                <w:szCs w:val="24"/>
              </w:rPr>
              <w:t>Platelets (whole blood or apheresis derived)</w:t>
            </w:r>
          </w:p>
          <w:p w14:paraId="3D180AAC" w14:textId="77777777" w:rsidR="00611978" w:rsidRPr="00E14801" w:rsidRDefault="00611978" w:rsidP="00521930">
            <w:pPr>
              <w:spacing w:line="259" w:lineRule="auto"/>
              <w:rPr>
                <w:rFonts w:cstheme="minorHAnsi"/>
                <w:sz w:val="24"/>
                <w:szCs w:val="24"/>
              </w:rPr>
            </w:pPr>
            <w:r w:rsidRPr="00E14801">
              <w:rPr>
                <w:rFonts w:cstheme="minorHAnsi"/>
                <w:sz w:val="24"/>
                <w:szCs w:val="24"/>
              </w:rPr>
              <w:t>Plasma (whole blood or apheresis derived)</w:t>
            </w:r>
          </w:p>
          <w:p w14:paraId="5E5E3E0D" w14:textId="77777777" w:rsidR="00611978" w:rsidRPr="00E14801" w:rsidRDefault="00611978" w:rsidP="00521930">
            <w:pPr>
              <w:spacing w:line="259" w:lineRule="auto"/>
              <w:rPr>
                <w:rFonts w:cstheme="minorHAnsi"/>
                <w:sz w:val="24"/>
                <w:szCs w:val="24"/>
              </w:rPr>
            </w:pPr>
            <w:r w:rsidRPr="00E14801">
              <w:rPr>
                <w:rFonts w:cstheme="minorHAnsi"/>
                <w:sz w:val="24"/>
                <w:szCs w:val="24"/>
              </w:rPr>
              <w:t>Red cells (in trial)</w:t>
            </w:r>
          </w:p>
        </w:tc>
        <w:tc>
          <w:tcPr>
            <w:tcW w:w="3117" w:type="dxa"/>
          </w:tcPr>
          <w:p w14:paraId="607F6332" w14:textId="77777777" w:rsidR="00611978" w:rsidRPr="00E14801" w:rsidRDefault="00611978" w:rsidP="00521930">
            <w:pPr>
              <w:spacing w:line="259" w:lineRule="auto"/>
              <w:rPr>
                <w:rFonts w:cstheme="minorHAnsi"/>
                <w:sz w:val="24"/>
                <w:szCs w:val="24"/>
              </w:rPr>
            </w:pPr>
          </w:p>
        </w:tc>
      </w:tr>
      <w:tr w:rsidR="00611978" w:rsidRPr="00E14801" w14:paraId="7E745825" w14:textId="77777777" w:rsidTr="00521930">
        <w:tc>
          <w:tcPr>
            <w:tcW w:w="3116" w:type="dxa"/>
          </w:tcPr>
          <w:p w14:paraId="244083AA" w14:textId="77777777" w:rsidR="00611978" w:rsidRPr="00E14801" w:rsidRDefault="00611978" w:rsidP="00521930">
            <w:pPr>
              <w:spacing w:line="259" w:lineRule="auto"/>
              <w:rPr>
                <w:rFonts w:cstheme="minorHAnsi"/>
                <w:sz w:val="24"/>
                <w:szCs w:val="24"/>
              </w:rPr>
            </w:pPr>
            <w:r w:rsidRPr="00E14801">
              <w:rPr>
                <w:rFonts w:cstheme="minorHAnsi"/>
                <w:sz w:val="24"/>
                <w:szCs w:val="24"/>
              </w:rPr>
              <w:t>Riboflavin + UVB light (280-360 nm) (</w:t>
            </w:r>
            <w:r w:rsidRPr="00E14801">
              <w:rPr>
                <w:rFonts w:cstheme="minorHAnsi"/>
                <w:i/>
                <w:sz w:val="24"/>
                <w:szCs w:val="24"/>
              </w:rPr>
              <w:t>Mirasol by Terumo BCT</w:t>
            </w:r>
            <w:r w:rsidRPr="00E14801">
              <w:rPr>
                <w:rFonts w:cstheme="minorHAnsi"/>
                <w:sz w:val="24"/>
                <w:szCs w:val="24"/>
              </w:rPr>
              <w:t>)</w:t>
            </w:r>
          </w:p>
        </w:tc>
        <w:tc>
          <w:tcPr>
            <w:tcW w:w="3117" w:type="dxa"/>
          </w:tcPr>
          <w:p w14:paraId="5A07E56D" w14:textId="77777777" w:rsidR="00611978" w:rsidRPr="00E14801" w:rsidRDefault="00611978" w:rsidP="00521930">
            <w:pPr>
              <w:spacing w:line="259" w:lineRule="auto"/>
              <w:rPr>
                <w:rFonts w:cstheme="minorHAnsi"/>
                <w:sz w:val="24"/>
                <w:szCs w:val="24"/>
              </w:rPr>
            </w:pPr>
            <w:r w:rsidRPr="00E14801">
              <w:rPr>
                <w:rFonts w:cstheme="minorHAnsi"/>
                <w:sz w:val="24"/>
                <w:szCs w:val="24"/>
              </w:rPr>
              <w:t>Platelets (whole blood or apheresis derived)</w:t>
            </w:r>
          </w:p>
          <w:p w14:paraId="7BF96A2D" w14:textId="77777777" w:rsidR="00611978" w:rsidRPr="00E14801" w:rsidRDefault="00611978" w:rsidP="00521930">
            <w:pPr>
              <w:spacing w:line="259" w:lineRule="auto"/>
              <w:rPr>
                <w:rFonts w:cstheme="minorHAnsi"/>
                <w:sz w:val="24"/>
                <w:szCs w:val="24"/>
              </w:rPr>
            </w:pPr>
            <w:r w:rsidRPr="00E14801">
              <w:rPr>
                <w:rFonts w:cstheme="minorHAnsi"/>
                <w:sz w:val="24"/>
                <w:szCs w:val="24"/>
              </w:rPr>
              <w:t>Plasma (whole blood or apheresis derived)</w:t>
            </w:r>
          </w:p>
          <w:p w14:paraId="2A6B298C" w14:textId="77777777" w:rsidR="00611978" w:rsidRPr="00E14801" w:rsidRDefault="00611978" w:rsidP="00521930">
            <w:pPr>
              <w:spacing w:line="259" w:lineRule="auto"/>
              <w:rPr>
                <w:rFonts w:cstheme="minorHAnsi"/>
                <w:sz w:val="24"/>
                <w:szCs w:val="24"/>
              </w:rPr>
            </w:pPr>
            <w:r w:rsidRPr="00E14801">
              <w:rPr>
                <w:rFonts w:cstheme="minorHAnsi"/>
                <w:sz w:val="24"/>
                <w:szCs w:val="24"/>
              </w:rPr>
              <w:t>Whole blood</w:t>
            </w:r>
          </w:p>
        </w:tc>
        <w:tc>
          <w:tcPr>
            <w:tcW w:w="3117" w:type="dxa"/>
          </w:tcPr>
          <w:p w14:paraId="6C25BA98" w14:textId="77777777" w:rsidR="00611978" w:rsidRPr="00E14801" w:rsidRDefault="00611978" w:rsidP="00521930">
            <w:pPr>
              <w:spacing w:line="259" w:lineRule="auto"/>
              <w:rPr>
                <w:rFonts w:cstheme="minorHAnsi"/>
                <w:sz w:val="24"/>
                <w:szCs w:val="24"/>
              </w:rPr>
            </w:pPr>
          </w:p>
        </w:tc>
      </w:tr>
      <w:tr w:rsidR="00611978" w:rsidRPr="00E14801" w14:paraId="34FC80E5" w14:textId="77777777" w:rsidTr="00521930">
        <w:tc>
          <w:tcPr>
            <w:tcW w:w="3116" w:type="dxa"/>
          </w:tcPr>
          <w:p w14:paraId="50667841" w14:textId="77777777" w:rsidR="00611978" w:rsidRPr="00E14801" w:rsidRDefault="00611978" w:rsidP="00521930">
            <w:pPr>
              <w:spacing w:line="259" w:lineRule="auto"/>
              <w:rPr>
                <w:rFonts w:cstheme="minorHAnsi"/>
                <w:sz w:val="24"/>
                <w:szCs w:val="24"/>
              </w:rPr>
            </w:pPr>
            <w:r w:rsidRPr="00E14801">
              <w:rPr>
                <w:rFonts w:cstheme="minorHAnsi"/>
                <w:sz w:val="24"/>
                <w:szCs w:val="24"/>
              </w:rPr>
              <w:t>Solvent/Detergent (</w:t>
            </w:r>
            <w:r w:rsidRPr="00E14801">
              <w:rPr>
                <w:rFonts w:cstheme="minorHAnsi"/>
                <w:i/>
                <w:sz w:val="24"/>
                <w:szCs w:val="24"/>
              </w:rPr>
              <w:t>Octaplas S/D by Octapharma</w:t>
            </w:r>
            <w:r w:rsidRPr="00E14801">
              <w:rPr>
                <w:rFonts w:cstheme="minorHAnsi"/>
                <w:sz w:val="24"/>
                <w:szCs w:val="24"/>
              </w:rPr>
              <w:t>)</w:t>
            </w:r>
          </w:p>
        </w:tc>
        <w:tc>
          <w:tcPr>
            <w:tcW w:w="3117" w:type="dxa"/>
          </w:tcPr>
          <w:p w14:paraId="06203659" w14:textId="77777777" w:rsidR="00611978" w:rsidRPr="00E14801" w:rsidRDefault="00611978" w:rsidP="00521930">
            <w:pPr>
              <w:spacing w:line="259" w:lineRule="auto"/>
              <w:rPr>
                <w:rFonts w:cstheme="minorHAnsi"/>
                <w:sz w:val="24"/>
                <w:szCs w:val="24"/>
              </w:rPr>
            </w:pPr>
            <w:r w:rsidRPr="00E14801">
              <w:rPr>
                <w:rFonts w:cstheme="minorHAnsi"/>
                <w:sz w:val="24"/>
                <w:szCs w:val="24"/>
              </w:rPr>
              <w:t>Large-pool of plasma (whole blood or apheresis derived)</w:t>
            </w:r>
          </w:p>
        </w:tc>
        <w:tc>
          <w:tcPr>
            <w:tcW w:w="3117" w:type="dxa"/>
          </w:tcPr>
          <w:p w14:paraId="1CD1BAEB" w14:textId="77777777" w:rsidR="00611978" w:rsidRPr="00E14801" w:rsidRDefault="00611978" w:rsidP="00521930">
            <w:pPr>
              <w:spacing w:line="259" w:lineRule="auto"/>
              <w:rPr>
                <w:rFonts w:cstheme="minorHAnsi"/>
                <w:sz w:val="24"/>
                <w:szCs w:val="24"/>
              </w:rPr>
            </w:pPr>
          </w:p>
        </w:tc>
      </w:tr>
      <w:tr w:rsidR="00611978" w:rsidRPr="00E14801" w14:paraId="26947C76" w14:textId="77777777" w:rsidTr="00521930">
        <w:tc>
          <w:tcPr>
            <w:tcW w:w="3116" w:type="dxa"/>
          </w:tcPr>
          <w:p w14:paraId="55E99B85" w14:textId="77777777" w:rsidR="00611978" w:rsidRPr="00E14801" w:rsidRDefault="00611978" w:rsidP="00521930">
            <w:pPr>
              <w:spacing w:line="259" w:lineRule="auto"/>
              <w:rPr>
                <w:rFonts w:cstheme="minorHAnsi"/>
                <w:sz w:val="24"/>
                <w:szCs w:val="24"/>
              </w:rPr>
            </w:pPr>
            <w:r w:rsidRPr="00E14801">
              <w:rPr>
                <w:rFonts w:cstheme="minorHAnsi"/>
                <w:sz w:val="24"/>
                <w:szCs w:val="24"/>
              </w:rPr>
              <w:t xml:space="preserve">UVC light </w:t>
            </w:r>
          </w:p>
          <w:p w14:paraId="7E001E58" w14:textId="77777777" w:rsidR="00611978" w:rsidRPr="00E14801" w:rsidRDefault="00611978" w:rsidP="00521930">
            <w:pPr>
              <w:spacing w:line="259" w:lineRule="auto"/>
              <w:rPr>
                <w:rFonts w:cstheme="minorHAnsi"/>
                <w:sz w:val="24"/>
                <w:szCs w:val="24"/>
              </w:rPr>
            </w:pPr>
            <w:r w:rsidRPr="00E14801">
              <w:rPr>
                <w:rFonts w:cstheme="minorHAnsi"/>
                <w:sz w:val="24"/>
                <w:szCs w:val="24"/>
              </w:rPr>
              <w:t>Filtration + Methylene Blue + visible light (400-700 nm)</w:t>
            </w:r>
          </w:p>
          <w:p w14:paraId="65991EC9" w14:textId="77777777" w:rsidR="00611978" w:rsidRPr="00E14801" w:rsidRDefault="00611978" w:rsidP="00521930">
            <w:pPr>
              <w:spacing w:line="259" w:lineRule="auto"/>
              <w:rPr>
                <w:rFonts w:cstheme="minorHAnsi"/>
                <w:sz w:val="24"/>
                <w:szCs w:val="24"/>
              </w:rPr>
            </w:pPr>
            <w:r w:rsidRPr="00E14801">
              <w:rPr>
                <w:rFonts w:cstheme="minorHAnsi"/>
                <w:sz w:val="24"/>
                <w:szCs w:val="24"/>
              </w:rPr>
              <w:t>(</w:t>
            </w:r>
            <w:r w:rsidRPr="00E14801">
              <w:rPr>
                <w:rFonts w:cstheme="minorHAnsi"/>
                <w:i/>
                <w:sz w:val="24"/>
                <w:szCs w:val="24"/>
              </w:rPr>
              <w:t>Theraflex by Macopharma</w:t>
            </w:r>
            <w:r w:rsidRPr="00E14801">
              <w:rPr>
                <w:rFonts w:cstheme="minorHAnsi"/>
                <w:sz w:val="24"/>
                <w:szCs w:val="24"/>
              </w:rPr>
              <w:t>)</w:t>
            </w:r>
          </w:p>
        </w:tc>
        <w:tc>
          <w:tcPr>
            <w:tcW w:w="3117" w:type="dxa"/>
          </w:tcPr>
          <w:p w14:paraId="3E3EF8EF" w14:textId="77777777" w:rsidR="00611978" w:rsidRPr="00E14801" w:rsidRDefault="00611978" w:rsidP="00521930">
            <w:pPr>
              <w:spacing w:line="259" w:lineRule="auto"/>
              <w:rPr>
                <w:rFonts w:cstheme="minorHAnsi"/>
                <w:sz w:val="24"/>
                <w:szCs w:val="24"/>
              </w:rPr>
            </w:pPr>
            <w:r w:rsidRPr="00E14801">
              <w:rPr>
                <w:rFonts w:cstheme="minorHAnsi"/>
                <w:sz w:val="24"/>
                <w:szCs w:val="24"/>
              </w:rPr>
              <w:t>Platelets</w:t>
            </w:r>
          </w:p>
          <w:p w14:paraId="10E0C297" w14:textId="77777777" w:rsidR="00611978" w:rsidRPr="00E14801" w:rsidRDefault="00611978" w:rsidP="00521930">
            <w:pPr>
              <w:spacing w:line="259" w:lineRule="auto"/>
              <w:rPr>
                <w:rFonts w:cstheme="minorHAnsi"/>
                <w:sz w:val="24"/>
                <w:szCs w:val="24"/>
              </w:rPr>
            </w:pPr>
            <w:r w:rsidRPr="00E14801">
              <w:rPr>
                <w:rFonts w:cstheme="minorHAnsi"/>
                <w:sz w:val="24"/>
                <w:szCs w:val="24"/>
              </w:rPr>
              <w:t>Fresh frozen plasma</w:t>
            </w:r>
          </w:p>
        </w:tc>
        <w:tc>
          <w:tcPr>
            <w:tcW w:w="3117" w:type="dxa"/>
          </w:tcPr>
          <w:p w14:paraId="1995E590" w14:textId="77777777" w:rsidR="00611978" w:rsidRPr="00E14801" w:rsidRDefault="00611978" w:rsidP="00521930">
            <w:pPr>
              <w:spacing w:line="259" w:lineRule="auto"/>
              <w:rPr>
                <w:rFonts w:cstheme="minorHAnsi"/>
                <w:sz w:val="24"/>
                <w:szCs w:val="24"/>
              </w:rPr>
            </w:pPr>
          </w:p>
        </w:tc>
      </w:tr>
      <w:tr w:rsidR="00611978" w:rsidRPr="00E14801" w14:paraId="0F2D6AB2" w14:textId="77777777" w:rsidTr="00521930">
        <w:tc>
          <w:tcPr>
            <w:tcW w:w="3116" w:type="dxa"/>
          </w:tcPr>
          <w:p w14:paraId="297788B8" w14:textId="77777777" w:rsidR="00611978" w:rsidRPr="00E14801" w:rsidRDefault="00611978" w:rsidP="00521930">
            <w:pPr>
              <w:spacing w:line="259" w:lineRule="auto"/>
              <w:rPr>
                <w:rFonts w:cstheme="minorHAnsi"/>
                <w:sz w:val="24"/>
                <w:szCs w:val="24"/>
              </w:rPr>
            </w:pPr>
            <w:r w:rsidRPr="00E14801">
              <w:rPr>
                <w:rFonts w:cstheme="minorHAnsi"/>
                <w:sz w:val="24"/>
                <w:szCs w:val="24"/>
              </w:rPr>
              <w:t>Solvent/Detergent (</w:t>
            </w:r>
            <w:r w:rsidRPr="00E14801">
              <w:rPr>
                <w:rFonts w:cstheme="minorHAnsi"/>
                <w:i/>
                <w:sz w:val="24"/>
                <w:szCs w:val="24"/>
              </w:rPr>
              <w:t>by VIPS</w:t>
            </w:r>
            <w:r w:rsidRPr="00E14801">
              <w:rPr>
                <w:rFonts w:cstheme="minorHAnsi"/>
                <w:sz w:val="24"/>
                <w:szCs w:val="24"/>
              </w:rPr>
              <w:t>)</w:t>
            </w:r>
          </w:p>
        </w:tc>
        <w:tc>
          <w:tcPr>
            <w:tcW w:w="3117" w:type="dxa"/>
          </w:tcPr>
          <w:p w14:paraId="69C4CA1E" w14:textId="77777777" w:rsidR="00611978" w:rsidRPr="00E14801" w:rsidRDefault="00611978" w:rsidP="00521930">
            <w:pPr>
              <w:spacing w:line="259" w:lineRule="auto"/>
              <w:rPr>
                <w:rFonts w:cstheme="minorHAnsi"/>
                <w:sz w:val="24"/>
                <w:szCs w:val="24"/>
              </w:rPr>
            </w:pPr>
            <w:r w:rsidRPr="00E14801">
              <w:rPr>
                <w:rFonts w:cstheme="minorHAnsi"/>
                <w:sz w:val="24"/>
                <w:szCs w:val="24"/>
              </w:rPr>
              <w:t>Single donation or mini-pool of plasma (whole blood or apheresis derived)</w:t>
            </w:r>
          </w:p>
        </w:tc>
        <w:tc>
          <w:tcPr>
            <w:tcW w:w="3117" w:type="dxa"/>
          </w:tcPr>
          <w:p w14:paraId="3D8AC17B" w14:textId="77777777" w:rsidR="00611978" w:rsidRPr="00E14801" w:rsidRDefault="00611978" w:rsidP="00521930">
            <w:pPr>
              <w:spacing w:line="259" w:lineRule="auto"/>
              <w:rPr>
                <w:rFonts w:cstheme="minorHAnsi"/>
                <w:sz w:val="24"/>
                <w:szCs w:val="24"/>
              </w:rPr>
            </w:pPr>
          </w:p>
        </w:tc>
      </w:tr>
      <w:tr w:rsidR="00611978" w:rsidRPr="00E14801" w14:paraId="5A61BB8A" w14:textId="77777777" w:rsidTr="00521930">
        <w:tc>
          <w:tcPr>
            <w:tcW w:w="9350" w:type="dxa"/>
            <w:gridSpan w:val="3"/>
            <w:shd w:val="clear" w:color="auto" w:fill="F2F2F2" w:themeFill="background1" w:themeFillShade="F2"/>
          </w:tcPr>
          <w:p w14:paraId="5C62EE6D" w14:textId="77777777" w:rsidR="00611978" w:rsidRPr="00B522A5" w:rsidRDefault="00611978" w:rsidP="00521930">
            <w:pPr>
              <w:spacing w:line="259" w:lineRule="auto"/>
              <w:rPr>
                <w:rFonts w:cstheme="minorHAnsi"/>
                <w:sz w:val="24"/>
                <w:szCs w:val="24"/>
              </w:rPr>
            </w:pPr>
            <w:r w:rsidRPr="00B522A5">
              <w:rPr>
                <w:rFonts w:cstheme="minorHAnsi"/>
                <w:sz w:val="24"/>
                <w:szCs w:val="24"/>
              </w:rPr>
              <w:lastRenderedPageBreak/>
              <w:t>Tissue and cell grafts</w:t>
            </w:r>
          </w:p>
        </w:tc>
      </w:tr>
      <w:tr w:rsidR="00611978" w:rsidRPr="00E14801" w14:paraId="3CF49CFD" w14:textId="77777777" w:rsidTr="00521930">
        <w:tc>
          <w:tcPr>
            <w:tcW w:w="3116" w:type="dxa"/>
          </w:tcPr>
          <w:p w14:paraId="72648535" w14:textId="77777777" w:rsidR="00611978" w:rsidRPr="00B522A5" w:rsidRDefault="00611978" w:rsidP="00521930">
            <w:pPr>
              <w:spacing w:line="259" w:lineRule="auto"/>
              <w:rPr>
                <w:rFonts w:cstheme="minorHAnsi"/>
                <w:sz w:val="24"/>
                <w:szCs w:val="24"/>
              </w:rPr>
            </w:pPr>
            <w:r w:rsidRPr="00B522A5">
              <w:rPr>
                <w:rFonts w:cstheme="minorHAnsi"/>
                <w:sz w:val="24"/>
                <w:szCs w:val="24"/>
              </w:rPr>
              <w:t>Antibiotic</w:t>
            </w:r>
            <w:r>
              <w:rPr>
                <w:rFonts w:cstheme="minorHAnsi"/>
                <w:sz w:val="24"/>
                <w:szCs w:val="24"/>
              </w:rPr>
              <w:t>/anti-mycotic</w:t>
            </w:r>
            <w:r w:rsidRPr="00B522A5">
              <w:rPr>
                <w:rFonts w:cstheme="minorHAnsi"/>
                <w:sz w:val="24"/>
                <w:szCs w:val="24"/>
              </w:rPr>
              <w:t xml:space="preserve"> treatments</w:t>
            </w:r>
          </w:p>
        </w:tc>
        <w:tc>
          <w:tcPr>
            <w:tcW w:w="3117" w:type="dxa"/>
          </w:tcPr>
          <w:p w14:paraId="1557278F" w14:textId="764D3E22" w:rsidR="00611978" w:rsidRPr="00B522A5" w:rsidRDefault="00611978" w:rsidP="00521930">
            <w:pPr>
              <w:spacing w:line="259" w:lineRule="auto"/>
              <w:rPr>
                <w:rFonts w:cstheme="minorHAnsi"/>
                <w:sz w:val="24"/>
                <w:szCs w:val="24"/>
              </w:rPr>
            </w:pPr>
            <w:r>
              <w:rPr>
                <w:rFonts w:cstheme="minorHAnsi"/>
                <w:sz w:val="24"/>
                <w:szCs w:val="24"/>
              </w:rPr>
              <w:t>Amniotic membrane, musculoskeletal tissue, adipose tissue</w:t>
            </w:r>
            <w:r w:rsidR="00175D2B">
              <w:rPr>
                <w:rFonts w:cstheme="minorHAnsi"/>
                <w:sz w:val="24"/>
                <w:szCs w:val="24"/>
              </w:rPr>
              <w:t>, cardiovascular tissues</w:t>
            </w:r>
            <w:r w:rsidR="004045DB">
              <w:rPr>
                <w:rFonts w:cstheme="minorHAnsi"/>
                <w:sz w:val="24"/>
                <w:szCs w:val="24"/>
              </w:rPr>
              <w:t xml:space="preserve">, </w:t>
            </w:r>
            <w:r w:rsidR="004045DB" w:rsidRPr="00802A14">
              <w:rPr>
                <w:rFonts w:cstheme="minorHAnsi"/>
                <w:sz w:val="24"/>
                <w:szCs w:val="24"/>
              </w:rPr>
              <w:t>ocular tissues</w:t>
            </w:r>
          </w:p>
        </w:tc>
        <w:tc>
          <w:tcPr>
            <w:tcW w:w="3117" w:type="dxa"/>
          </w:tcPr>
          <w:p w14:paraId="4B95629A" w14:textId="77777777" w:rsidR="00611978" w:rsidRPr="00B522A5" w:rsidRDefault="00611978" w:rsidP="00521930">
            <w:pPr>
              <w:spacing w:line="259" w:lineRule="auto"/>
              <w:rPr>
                <w:rFonts w:cstheme="minorHAnsi"/>
                <w:sz w:val="24"/>
                <w:szCs w:val="24"/>
              </w:rPr>
            </w:pPr>
          </w:p>
        </w:tc>
      </w:tr>
      <w:tr w:rsidR="00611978" w:rsidRPr="00E14801" w14:paraId="3C1F3C9C" w14:textId="77777777" w:rsidTr="00521930">
        <w:tc>
          <w:tcPr>
            <w:tcW w:w="3116" w:type="dxa"/>
          </w:tcPr>
          <w:p w14:paraId="0F377718" w14:textId="77777777" w:rsidR="00611978" w:rsidRPr="00B522A5" w:rsidRDefault="00611978" w:rsidP="00521930">
            <w:pPr>
              <w:spacing w:line="259" w:lineRule="auto"/>
              <w:rPr>
                <w:rFonts w:cstheme="minorHAnsi"/>
                <w:sz w:val="24"/>
                <w:szCs w:val="24"/>
              </w:rPr>
            </w:pPr>
            <w:r>
              <w:rPr>
                <w:rFonts w:cstheme="minorHAnsi"/>
                <w:sz w:val="24"/>
                <w:szCs w:val="24"/>
              </w:rPr>
              <w:t>High concentrate glycerol</w:t>
            </w:r>
          </w:p>
        </w:tc>
        <w:tc>
          <w:tcPr>
            <w:tcW w:w="3117" w:type="dxa"/>
          </w:tcPr>
          <w:p w14:paraId="5DE09DBF" w14:textId="77777777" w:rsidR="00611978" w:rsidRDefault="00611978" w:rsidP="00521930">
            <w:pPr>
              <w:spacing w:line="259" w:lineRule="auto"/>
              <w:rPr>
                <w:rFonts w:cstheme="minorHAnsi"/>
                <w:sz w:val="24"/>
                <w:szCs w:val="24"/>
              </w:rPr>
            </w:pPr>
            <w:r>
              <w:rPr>
                <w:rFonts w:cstheme="minorHAnsi"/>
                <w:sz w:val="24"/>
                <w:szCs w:val="24"/>
              </w:rPr>
              <w:t>Skin, amniotic membrane</w:t>
            </w:r>
          </w:p>
        </w:tc>
        <w:tc>
          <w:tcPr>
            <w:tcW w:w="3117" w:type="dxa"/>
          </w:tcPr>
          <w:p w14:paraId="0D1093EA" w14:textId="77777777" w:rsidR="00611978" w:rsidRPr="000A5673" w:rsidRDefault="00611978" w:rsidP="00521930">
            <w:pPr>
              <w:spacing w:line="259" w:lineRule="auto"/>
              <w:rPr>
                <w:rFonts w:cstheme="minorHAnsi"/>
                <w:sz w:val="24"/>
                <w:szCs w:val="24"/>
              </w:rPr>
            </w:pPr>
            <w:r w:rsidRPr="000A5673">
              <w:rPr>
                <w:rFonts w:cstheme="minorHAnsi"/>
                <w:sz w:val="24"/>
                <w:szCs w:val="24"/>
              </w:rPr>
              <w:t>glycerol solutions used should be sterile and of high</w:t>
            </w:r>
          </w:p>
          <w:p w14:paraId="50071E38" w14:textId="77777777" w:rsidR="00611978" w:rsidRPr="00B522A5" w:rsidRDefault="00611978" w:rsidP="00521930">
            <w:pPr>
              <w:spacing w:line="259" w:lineRule="auto"/>
              <w:rPr>
                <w:rFonts w:cstheme="minorHAnsi"/>
                <w:sz w:val="24"/>
                <w:szCs w:val="24"/>
              </w:rPr>
            </w:pPr>
            <w:r w:rsidRPr="000A5673">
              <w:rPr>
                <w:rFonts w:cstheme="minorHAnsi"/>
                <w:sz w:val="24"/>
                <w:szCs w:val="24"/>
              </w:rPr>
              <w:t xml:space="preserve">quality (e.g. see European Pharmacopoeia </w:t>
            </w:r>
            <w:r>
              <w:rPr>
                <w:rFonts w:cstheme="minorHAnsi"/>
                <w:sz w:val="24"/>
                <w:szCs w:val="24"/>
              </w:rPr>
              <w:t>monograph 0497 – Glycerol 85 %)</w:t>
            </w:r>
          </w:p>
        </w:tc>
      </w:tr>
      <w:tr w:rsidR="00611978" w:rsidRPr="00E14801" w14:paraId="3382045D" w14:textId="77777777" w:rsidTr="00521930">
        <w:tc>
          <w:tcPr>
            <w:tcW w:w="3116" w:type="dxa"/>
          </w:tcPr>
          <w:p w14:paraId="15650697" w14:textId="77777777" w:rsidR="00611978" w:rsidRPr="00B522A5" w:rsidRDefault="00611978" w:rsidP="00521930">
            <w:pPr>
              <w:spacing w:line="259" w:lineRule="auto"/>
              <w:rPr>
                <w:rFonts w:cstheme="minorHAnsi"/>
                <w:sz w:val="24"/>
                <w:szCs w:val="24"/>
              </w:rPr>
            </w:pPr>
            <w:r>
              <w:rPr>
                <w:rFonts w:cstheme="minorHAnsi"/>
                <w:sz w:val="24"/>
                <w:szCs w:val="24"/>
              </w:rPr>
              <w:t>Decellularisation</w:t>
            </w:r>
          </w:p>
        </w:tc>
        <w:tc>
          <w:tcPr>
            <w:tcW w:w="3117" w:type="dxa"/>
          </w:tcPr>
          <w:p w14:paraId="5FBA8121" w14:textId="77777777" w:rsidR="00611978" w:rsidRPr="00B522A5" w:rsidRDefault="00611978" w:rsidP="00521930">
            <w:pPr>
              <w:spacing w:line="259" w:lineRule="auto"/>
              <w:rPr>
                <w:rFonts w:cstheme="minorHAnsi"/>
                <w:sz w:val="24"/>
                <w:szCs w:val="24"/>
              </w:rPr>
            </w:pPr>
            <w:r>
              <w:rPr>
                <w:rFonts w:cstheme="minorHAnsi"/>
                <w:sz w:val="24"/>
                <w:szCs w:val="24"/>
              </w:rPr>
              <w:t>Skin, cardiovascular tissues</w:t>
            </w:r>
          </w:p>
        </w:tc>
        <w:tc>
          <w:tcPr>
            <w:tcW w:w="3117" w:type="dxa"/>
          </w:tcPr>
          <w:p w14:paraId="10F8CAA0" w14:textId="77777777" w:rsidR="00611978" w:rsidRPr="00B522A5" w:rsidRDefault="00611978" w:rsidP="00521930">
            <w:pPr>
              <w:spacing w:line="259" w:lineRule="auto"/>
              <w:rPr>
                <w:rFonts w:cstheme="minorHAnsi"/>
                <w:sz w:val="24"/>
                <w:szCs w:val="24"/>
              </w:rPr>
            </w:pPr>
          </w:p>
        </w:tc>
      </w:tr>
      <w:tr w:rsidR="00611978" w:rsidRPr="00E14801" w14:paraId="4FCBD013" w14:textId="77777777" w:rsidTr="00521930">
        <w:tc>
          <w:tcPr>
            <w:tcW w:w="3116" w:type="dxa"/>
          </w:tcPr>
          <w:p w14:paraId="1DEE2C05" w14:textId="77777777" w:rsidR="00611978" w:rsidRDefault="00611978" w:rsidP="00521930">
            <w:pPr>
              <w:spacing w:line="259" w:lineRule="auto"/>
              <w:rPr>
                <w:rFonts w:cstheme="minorHAnsi"/>
                <w:sz w:val="24"/>
                <w:szCs w:val="24"/>
              </w:rPr>
            </w:pPr>
            <w:r w:rsidRPr="00DF5047">
              <w:rPr>
                <w:rFonts w:cstheme="minorHAnsi"/>
                <w:sz w:val="24"/>
                <w:szCs w:val="24"/>
              </w:rPr>
              <w:t>Chemical decontamination</w:t>
            </w:r>
            <w:r>
              <w:rPr>
                <w:rFonts w:cstheme="minorHAnsi"/>
                <w:sz w:val="24"/>
                <w:szCs w:val="24"/>
              </w:rPr>
              <w:t xml:space="preserve"> (</w:t>
            </w:r>
            <w:r w:rsidRPr="00C957B3">
              <w:rPr>
                <w:rFonts w:cstheme="minorHAnsi"/>
                <w:sz w:val="24"/>
                <w:szCs w:val="24"/>
              </w:rPr>
              <w:t>e.g. peracetic acid,</w:t>
            </w:r>
            <w:r>
              <w:rPr>
                <w:rFonts w:cstheme="minorHAnsi"/>
                <w:sz w:val="24"/>
                <w:szCs w:val="24"/>
              </w:rPr>
              <w:t xml:space="preserve"> </w:t>
            </w:r>
            <w:r w:rsidRPr="001E515E">
              <w:rPr>
                <w:rFonts w:cstheme="minorHAnsi"/>
                <w:sz w:val="24"/>
                <w:szCs w:val="24"/>
              </w:rPr>
              <w:t>iodophors, ethanol)</w:t>
            </w:r>
          </w:p>
        </w:tc>
        <w:tc>
          <w:tcPr>
            <w:tcW w:w="3117" w:type="dxa"/>
          </w:tcPr>
          <w:p w14:paraId="551B7330" w14:textId="77777777" w:rsidR="00611978" w:rsidRDefault="00611978" w:rsidP="00521930">
            <w:pPr>
              <w:spacing w:line="259" w:lineRule="auto"/>
              <w:rPr>
                <w:rFonts w:cstheme="minorHAnsi"/>
                <w:sz w:val="24"/>
                <w:szCs w:val="24"/>
              </w:rPr>
            </w:pPr>
            <w:r>
              <w:rPr>
                <w:rFonts w:cstheme="minorHAnsi"/>
                <w:sz w:val="24"/>
                <w:szCs w:val="24"/>
              </w:rPr>
              <w:t>Musculoskeletal tissue</w:t>
            </w:r>
          </w:p>
        </w:tc>
        <w:tc>
          <w:tcPr>
            <w:tcW w:w="3117" w:type="dxa"/>
          </w:tcPr>
          <w:p w14:paraId="191EDB32" w14:textId="77777777" w:rsidR="00611978" w:rsidRPr="00B522A5" w:rsidRDefault="00611978" w:rsidP="00521930">
            <w:pPr>
              <w:spacing w:line="259" w:lineRule="auto"/>
              <w:rPr>
                <w:rFonts w:cstheme="minorHAnsi"/>
                <w:sz w:val="24"/>
                <w:szCs w:val="24"/>
              </w:rPr>
            </w:pPr>
          </w:p>
        </w:tc>
      </w:tr>
    </w:tbl>
    <w:p w14:paraId="0832A93C" w14:textId="5B2BF891" w:rsidR="00611978" w:rsidRPr="001C0DB9" w:rsidRDefault="00343904" w:rsidP="00611978">
      <w:pPr>
        <w:jc w:val="both"/>
        <w:rPr>
          <w:rFonts w:cstheme="minorHAnsi"/>
          <w:sz w:val="24"/>
          <w:szCs w:val="24"/>
        </w:rPr>
      </w:pPr>
      <w:r>
        <w:rPr>
          <w:rFonts w:cstheme="minorHAnsi"/>
          <w:sz w:val="24"/>
          <w:szCs w:val="24"/>
        </w:rPr>
        <w:t>(</w:t>
      </w:r>
      <w:r w:rsidR="001C0DB9" w:rsidRPr="001C0DB9">
        <w:rPr>
          <w:rFonts w:cstheme="minorHAnsi"/>
          <w:sz w:val="24"/>
          <w:szCs w:val="24"/>
        </w:rPr>
        <w:t>Ref. EDQM T&amp;C Guide 2019</w:t>
      </w:r>
      <w:r>
        <w:rPr>
          <w:rFonts w:cstheme="minorHAnsi"/>
          <w:sz w:val="24"/>
          <w:szCs w:val="24"/>
        </w:rPr>
        <w:t>)</w:t>
      </w:r>
    </w:p>
    <w:p w14:paraId="283ACF60" w14:textId="0E8231B5" w:rsidR="00477EE0" w:rsidRPr="00D71870" w:rsidRDefault="00F86FCA" w:rsidP="009A297D">
      <w:pPr>
        <w:pStyle w:val="Heading2"/>
        <w:numPr>
          <w:ilvl w:val="1"/>
          <w:numId w:val="16"/>
        </w:numPr>
      </w:pPr>
      <w:bookmarkStart w:id="23" w:name="_Toc41427160"/>
      <w:r>
        <w:t>Aspects</w:t>
      </w:r>
      <w:r w:rsidR="00B4495F">
        <w:t xml:space="preserve"> of PRT validation</w:t>
      </w:r>
      <w:bookmarkEnd w:id="23"/>
    </w:p>
    <w:p w14:paraId="08AC1A33" w14:textId="59DE9C0B" w:rsidR="00F5770F" w:rsidRPr="00AD1908" w:rsidRDefault="00A45ED9" w:rsidP="0011204D">
      <w:pPr>
        <w:spacing w:before="240"/>
        <w:jc w:val="both"/>
        <w:rPr>
          <w:rFonts w:cstheme="minorHAnsi"/>
          <w:sz w:val="24"/>
          <w:szCs w:val="24"/>
          <w:lang w:val="en-GB"/>
        </w:rPr>
      </w:pPr>
      <w:r>
        <w:rPr>
          <w:rFonts w:cstheme="minorHAnsi"/>
          <w:sz w:val="24"/>
          <w:szCs w:val="24"/>
          <w:lang w:val="en-GB"/>
        </w:rPr>
        <w:t xml:space="preserve">Application should </w:t>
      </w:r>
      <w:r w:rsidR="00B50601">
        <w:rPr>
          <w:rFonts w:cstheme="minorHAnsi"/>
          <w:sz w:val="24"/>
          <w:szCs w:val="24"/>
          <w:lang w:val="en-GB"/>
        </w:rPr>
        <w:t>describe</w:t>
      </w:r>
      <w:r>
        <w:rPr>
          <w:rFonts w:cstheme="minorHAnsi"/>
          <w:sz w:val="24"/>
          <w:szCs w:val="24"/>
          <w:lang w:val="en-GB"/>
        </w:rPr>
        <w:t xml:space="preserve"> all relevant information which </w:t>
      </w:r>
      <w:r w:rsidR="00477EE0">
        <w:rPr>
          <w:rFonts w:cstheme="minorHAnsi"/>
          <w:sz w:val="24"/>
          <w:szCs w:val="24"/>
          <w:lang w:val="en-GB"/>
        </w:rPr>
        <w:t>CA</w:t>
      </w:r>
      <w:r>
        <w:rPr>
          <w:rFonts w:cstheme="minorHAnsi"/>
          <w:sz w:val="24"/>
          <w:szCs w:val="24"/>
          <w:lang w:val="en-GB"/>
        </w:rPr>
        <w:t xml:space="preserve"> needs to review: </w:t>
      </w:r>
    </w:p>
    <w:p w14:paraId="3CA934ED" w14:textId="2A7053EB" w:rsidR="00E231B8" w:rsidRPr="00E231B8" w:rsidRDefault="00E231B8" w:rsidP="009A297D">
      <w:pPr>
        <w:pStyle w:val="ListParagraph"/>
        <w:numPr>
          <w:ilvl w:val="0"/>
          <w:numId w:val="2"/>
        </w:numPr>
        <w:jc w:val="both"/>
        <w:rPr>
          <w:rFonts w:cstheme="minorHAnsi"/>
          <w:sz w:val="24"/>
          <w:szCs w:val="24"/>
        </w:rPr>
      </w:pPr>
      <w:r w:rsidRPr="00E231B8">
        <w:rPr>
          <w:rFonts w:cstheme="minorHAnsi"/>
          <w:b/>
          <w:sz w:val="24"/>
          <w:szCs w:val="24"/>
        </w:rPr>
        <w:t>Starting material</w:t>
      </w:r>
      <w:r w:rsidRPr="00E231B8">
        <w:rPr>
          <w:rFonts w:cstheme="minorHAnsi"/>
          <w:sz w:val="24"/>
          <w:szCs w:val="24"/>
        </w:rPr>
        <w:t xml:space="preserve">. The effectiveness of a PRT should be shown in the BTC preparation itself and not only in </w:t>
      </w:r>
      <w:r w:rsidR="0031420C">
        <w:rPr>
          <w:rFonts w:cstheme="minorHAnsi"/>
          <w:sz w:val="24"/>
          <w:szCs w:val="24"/>
        </w:rPr>
        <w:t xml:space="preserve">an aqueous solution (EDQM T&amp;C Guide, ch. </w:t>
      </w:r>
      <w:r w:rsidR="00B13CB5">
        <w:rPr>
          <w:rFonts w:cstheme="minorHAnsi"/>
          <w:sz w:val="24"/>
          <w:szCs w:val="24"/>
        </w:rPr>
        <w:t>7.6.2</w:t>
      </w:r>
      <w:r w:rsidR="0031420C">
        <w:rPr>
          <w:rFonts w:cstheme="minorHAnsi"/>
          <w:sz w:val="24"/>
          <w:szCs w:val="24"/>
        </w:rPr>
        <w:t>).</w:t>
      </w:r>
    </w:p>
    <w:p w14:paraId="5D537F8F" w14:textId="77777777" w:rsidR="00621C30" w:rsidRPr="00A345E5" w:rsidRDefault="00621C30" w:rsidP="009A297D">
      <w:pPr>
        <w:pStyle w:val="ListParagraph"/>
        <w:numPr>
          <w:ilvl w:val="0"/>
          <w:numId w:val="2"/>
        </w:numPr>
        <w:jc w:val="both"/>
        <w:rPr>
          <w:rFonts w:cstheme="minorHAnsi"/>
          <w:b/>
          <w:sz w:val="24"/>
          <w:szCs w:val="24"/>
        </w:rPr>
      </w:pPr>
      <w:r w:rsidRPr="00E14801">
        <w:rPr>
          <w:rFonts w:cstheme="minorHAnsi"/>
          <w:b/>
          <w:sz w:val="24"/>
          <w:szCs w:val="24"/>
        </w:rPr>
        <w:t>Specification of reduction capacity</w:t>
      </w:r>
      <w:r w:rsidRPr="00A345E5">
        <w:rPr>
          <w:rFonts w:cstheme="minorHAnsi"/>
          <w:b/>
          <w:sz w:val="24"/>
          <w:szCs w:val="24"/>
        </w:rPr>
        <w:t xml:space="preserve">. </w:t>
      </w:r>
      <w:r w:rsidRPr="00A345E5">
        <w:rPr>
          <w:rFonts w:cstheme="minorHAnsi"/>
          <w:sz w:val="24"/>
          <w:szCs w:val="24"/>
        </w:rPr>
        <w:t xml:space="preserve">Prior to the PRT validation it is necessary to assess the bioburden usually present in the </w:t>
      </w:r>
      <w:r>
        <w:rPr>
          <w:rFonts w:cstheme="minorHAnsi"/>
          <w:sz w:val="24"/>
          <w:szCs w:val="24"/>
        </w:rPr>
        <w:t xml:space="preserve">BTC </w:t>
      </w:r>
      <w:r w:rsidRPr="00A345E5">
        <w:rPr>
          <w:rFonts w:cstheme="minorHAnsi"/>
          <w:sz w:val="24"/>
          <w:szCs w:val="24"/>
        </w:rPr>
        <w:t xml:space="preserve">material as well as defining </w:t>
      </w:r>
      <w:r>
        <w:rPr>
          <w:rFonts w:cstheme="minorHAnsi"/>
          <w:sz w:val="24"/>
          <w:szCs w:val="24"/>
        </w:rPr>
        <w:t>worst case</w:t>
      </w:r>
      <w:r w:rsidRPr="00A345E5">
        <w:rPr>
          <w:rFonts w:cstheme="minorHAnsi"/>
          <w:sz w:val="24"/>
          <w:szCs w:val="24"/>
        </w:rPr>
        <w:t xml:space="preserve"> scenarios. Latter can be critical for a successful pathogen reduction and should be also addressed in the study.</w:t>
      </w:r>
    </w:p>
    <w:p w14:paraId="3D8DDA9C" w14:textId="28F10A16" w:rsidR="00F5770F" w:rsidRPr="00E14801" w:rsidRDefault="00326418" w:rsidP="009A297D">
      <w:pPr>
        <w:pStyle w:val="ListParagraph"/>
        <w:numPr>
          <w:ilvl w:val="0"/>
          <w:numId w:val="2"/>
        </w:numPr>
        <w:jc w:val="both"/>
        <w:rPr>
          <w:rFonts w:cstheme="minorHAnsi"/>
          <w:sz w:val="24"/>
          <w:szCs w:val="24"/>
        </w:rPr>
      </w:pPr>
      <w:r w:rsidRPr="00E14801">
        <w:rPr>
          <w:rFonts w:cstheme="minorHAnsi"/>
          <w:b/>
          <w:sz w:val="24"/>
          <w:szCs w:val="24"/>
        </w:rPr>
        <w:t>T</w:t>
      </w:r>
      <w:r w:rsidR="00F5770F" w:rsidRPr="00E14801">
        <w:rPr>
          <w:rFonts w:cstheme="minorHAnsi"/>
          <w:b/>
          <w:sz w:val="24"/>
          <w:szCs w:val="24"/>
        </w:rPr>
        <w:t>arget organisms</w:t>
      </w:r>
      <w:r w:rsidR="00F5770F" w:rsidRPr="00E14801">
        <w:rPr>
          <w:rFonts w:cstheme="minorHAnsi"/>
          <w:sz w:val="24"/>
          <w:szCs w:val="24"/>
        </w:rPr>
        <w:t xml:space="preserve">. Appropriate model organisms for the spiking studies include typical contaminants </w:t>
      </w:r>
      <w:r w:rsidR="00C43D91" w:rsidRPr="00E14801">
        <w:rPr>
          <w:rFonts w:cstheme="minorHAnsi"/>
          <w:sz w:val="24"/>
          <w:szCs w:val="24"/>
        </w:rPr>
        <w:t xml:space="preserve">likely to be found in the </w:t>
      </w:r>
      <w:r w:rsidR="00F22893">
        <w:rPr>
          <w:rFonts w:cstheme="minorHAnsi"/>
          <w:sz w:val="24"/>
          <w:szCs w:val="24"/>
        </w:rPr>
        <w:t xml:space="preserve">BTC </w:t>
      </w:r>
      <w:r w:rsidR="00C43D91" w:rsidRPr="00E14801">
        <w:rPr>
          <w:rFonts w:cstheme="minorHAnsi"/>
          <w:sz w:val="24"/>
          <w:szCs w:val="24"/>
        </w:rPr>
        <w:t xml:space="preserve">material </w:t>
      </w:r>
      <w:r w:rsidR="00F5770F" w:rsidRPr="00E14801">
        <w:rPr>
          <w:rFonts w:cstheme="minorHAnsi"/>
          <w:sz w:val="24"/>
          <w:szCs w:val="24"/>
        </w:rPr>
        <w:t>as well as micro</w:t>
      </w:r>
      <w:r w:rsidR="000910E7" w:rsidRPr="00E14801">
        <w:rPr>
          <w:rFonts w:cstheme="minorHAnsi"/>
          <w:sz w:val="24"/>
          <w:szCs w:val="24"/>
        </w:rPr>
        <w:t>-</w:t>
      </w:r>
      <w:r w:rsidR="00F5770F" w:rsidRPr="00E14801">
        <w:rPr>
          <w:rFonts w:cstheme="minorHAnsi"/>
          <w:sz w:val="24"/>
          <w:szCs w:val="24"/>
        </w:rPr>
        <w:t>organisms that might represent a challenge due to an increased resistance towards the PR</w:t>
      </w:r>
      <w:r w:rsidR="000910E7" w:rsidRPr="00E14801">
        <w:rPr>
          <w:rFonts w:cstheme="minorHAnsi"/>
          <w:sz w:val="24"/>
          <w:szCs w:val="24"/>
        </w:rPr>
        <w:t>T</w:t>
      </w:r>
      <w:r w:rsidR="00F5770F" w:rsidRPr="00E14801">
        <w:rPr>
          <w:rFonts w:cstheme="minorHAnsi"/>
          <w:sz w:val="24"/>
          <w:szCs w:val="24"/>
        </w:rPr>
        <w:t xml:space="preserve">. In addition, model organisms should be stable in the presence of the matrix. Ideally, known and well characterized reference organisms should be used </w:t>
      </w:r>
      <w:r w:rsidR="000910E7" w:rsidRPr="00E14801">
        <w:rPr>
          <w:rFonts w:cstheme="minorHAnsi"/>
          <w:sz w:val="24"/>
          <w:szCs w:val="24"/>
        </w:rPr>
        <w:t>(ref: WHO, EDQM</w:t>
      </w:r>
      <w:r w:rsidR="00F55AF8" w:rsidRPr="00E14801">
        <w:rPr>
          <w:rFonts w:cstheme="minorHAnsi"/>
          <w:sz w:val="24"/>
          <w:szCs w:val="24"/>
        </w:rPr>
        <w:t>)</w:t>
      </w:r>
      <w:r w:rsidR="00F5770F" w:rsidRPr="00E14801">
        <w:rPr>
          <w:rFonts w:cstheme="minorHAnsi"/>
          <w:sz w:val="24"/>
          <w:szCs w:val="24"/>
        </w:rPr>
        <w:t xml:space="preserve">. The </w:t>
      </w:r>
      <w:r w:rsidR="000B5BCA">
        <w:rPr>
          <w:rFonts w:cstheme="minorHAnsi"/>
          <w:sz w:val="24"/>
          <w:szCs w:val="24"/>
        </w:rPr>
        <w:t>applicant</w:t>
      </w:r>
      <w:r w:rsidR="00F5770F" w:rsidRPr="00E14801">
        <w:rPr>
          <w:rFonts w:cstheme="minorHAnsi"/>
          <w:sz w:val="24"/>
          <w:szCs w:val="24"/>
        </w:rPr>
        <w:t xml:space="preserve"> should justify the choice of micro</w:t>
      </w:r>
      <w:r w:rsidR="000910E7" w:rsidRPr="00E14801">
        <w:rPr>
          <w:rFonts w:cstheme="minorHAnsi"/>
          <w:sz w:val="24"/>
          <w:szCs w:val="24"/>
        </w:rPr>
        <w:t>-</w:t>
      </w:r>
      <w:r w:rsidR="00F5770F" w:rsidRPr="00E14801">
        <w:rPr>
          <w:rFonts w:cstheme="minorHAnsi"/>
          <w:sz w:val="24"/>
          <w:szCs w:val="24"/>
        </w:rPr>
        <w:t xml:space="preserve">organism in accordance with the aims of the validation </w:t>
      </w:r>
      <w:r w:rsidR="00422C79" w:rsidRPr="00E14801">
        <w:rPr>
          <w:rFonts w:cstheme="minorHAnsi"/>
          <w:sz w:val="24"/>
          <w:szCs w:val="24"/>
        </w:rPr>
        <w:t>study</w:t>
      </w:r>
      <w:r w:rsidR="00F5770F" w:rsidRPr="00E14801">
        <w:rPr>
          <w:rFonts w:cstheme="minorHAnsi"/>
          <w:sz w:val="24"/>
          <w:szCs w:val="24"/>
        </w:rPr>
        <w:t xml:space="preserve">. </w:t>
      </w:r>
    </w:p>
    <w:p w14:paraId="1C5111BA" w14:textId="6567BCF9" w:rsidR="00621C30" w:rsidRDefault="00621C30" w:rsidP="009A297D">
      <w:pPr>
        <w:pStyle w:val="ListParagraph"/>
        <w:numPr>
          <w:ilvl w:val="1"/>
          <w:numId w:val="2"/>
        </w:numPr>
        <w:jc w:val="both"/>
        <w:rPr>
          <w:rFonts w:cstheme="minorHAnsi"/>
          <w:b/>
          <w:sz w:val="24"/>
          <w:szCs w:val="24"/>
        </w:rPr>
      </w:pPr>
      <w:r w:rsidRPr="002B2F56">
        <w:rPr>
          <w:rFonts w:cstheme="minorHAnsi"/>
          <w:sz w:val="24"/>
          <w:szCs w:val="24"/>
        </w:rPr>
        <w:t>Suitable spike stocks.</w:t>
      </w:r>
      <w:r w:rsidRPr="00A345E5">
        <w:rPr>
          <w:rFonts w:cstheme="minorHAnsi"/>
          <w:b/>
          <w:sz w:val="24"/>
          <w:szCs w:val="24"/>
        </w:rPr>
        <w:t xml:space="preserve"> </w:t>
      </w:r>
      <w:r w:rsidRPr="00A345E5">
        <w:rPr>
          <w:rFonts w:cstheme="minorHAnsi"/>
          <w:sz w:val="24"/>
          <w:szCs w:val="24"/>
        </w:rPr>
        <w:t xml:space="preserve">To demonstrate high magnitude reduction </w:t>
      </w:r>
      <w:r w:rsidR="00D47097">
        <w:rPr>
          <w:rFonts w:cstheme="minorHAnsi"/>
          <w:sz w:val="24"/>
          <w:szCs w:val="24"/>
        </w:rPr>
        <w:t>ability</w:t>
      </w:r>
      <w:r w:rsidRPr="00A345E5">
        <w:rPr>
          <w:rFonts w:cstheme="minorHAnsi"/>
          <w:sz w:val="24"/>
          <w:szCs w:val="24"/>
        </w:rPr>
        <w:t xml:space="preserve">, </w:t>
      </w:r>
      <w:r w:rsidR="00D47097">
        <w:rPr>
          <w:rFonts w:cstheme="minorHAnsi"/>
          <w:sz w:val="24"/>
          <w:szCs w:val="24"/>
        </w:rPr>
        <w:t xml:space="preserve">BE/TE or </w:t>
      </w:r>
      <w:r w:rsidRPr="00A345E5">
        <w:rPr>
          <w:rFonts w:cstheme="minorHAnsi"/>
          <w:sz w:val="24"/>
          <w:szCs w:val="24"/>
        </w:rPr>
        <w:t xml:space="preserve">contracted testing laboratory must source representative high titre stocks of pathogens (JPAC Guidance, WHO Bacterial reference strains, EMA CPMP/BWP/2016). A panel with relevant characteristics should be included. </w:t>
      </w:r>
      <w:r w:rsidR="00877935" w:rsidRPr="0078530A">
        <w:rPr>
          <w:rFonts w:cstheme="minorHAnsi"/>
          <w:sz w:val="24"/>
          <w:szCs w:val="24"/>
        </w:rPr>
        <w:t>Where WHO bacteria reference strains are available they should be used.</w:t>
      </w:r>
      <w:r w:rsidR="00877935">
        <w:rPr>
          <w:rFonts w:cstheme="minorHAnsi"/>
          <w:sz w:val="24"/>
          <w:szCs w:val="24"/>
        </w:rPr>
        <w:t xml:space="preserve"> </w:t>
      </w:r>
      <w:r w:rsidRPr="00A345E5">
        <w:rPr>
          <w:rFonts w:cstheme="minorHAnsi"/>
          <w:sz w:val="24"/>
          <w:szCs w:val="24"/>
        </w:rPr>
        <w:t xml:space="preserve">The </w:t>
      </w:r>
      <w:r w:rsidRPr="00A345E5">
        <w:rPr>
          <w:rFonts w:cstheme="minorHAnsi"/>
          <w:sz w:val="24"/>
          <w:szCs w:val="24"/>
        </w:rPr>
        <w:lastRenderedPageBreak/>
        <w:t xml:space="preserve">quantitation range of the assay should </w:t>
      </w:r>
      <w:r>
        <w:rPr>
          <w:rFonts w:cstheme="minorHAnsi"/>
          <w:sz w:val="24"/>
          <w:szCs w:val="24"/>
        </w:rPr>
        <w:t>cover</w:t>
      </w:r>
      <w:r w:rsidRPr="00A345E5">
        <w:rPr>
          <w:rFonts w:cstheme="minorHAnsi"/>
          <w:sz w:val="24"/>
          <w:szCs w:val="24"/>
        </w:rPr>
        <w:t xml:space="preserve"> the </w:t>
      </w:r>
      <w:r>
        <w:rPr>
          <w:rFonts w:cstheme="minorHAnsi"/>
          <w:sz w:val="24"/>
          <w:szCs w:val="24"/>
        </w:rPr>
        <w:t xml:space="preserve">bioburden </w:t>
      </w:r>
      <w:r w:rsidRPr="00A345E5">
        <w:rPr>
          <w:rFonts w:cstheme="minorHAnsi"/>
          <w:sz w:val="24"/>
          <w:szCs w:val="24"/>
        </w:rPr>
        <w:t>concentration range expected in the</w:t>
      </w:r>
      <w:r>
        <w:rPr>
          <w:rFonts w:cstheme="minorHAnsi"/>
          <w:sz w:val="24"/>
          <w:szCs w:val="24"/>
        </w:rPr>
        <w:t xml:space="preserve"> BTC product</w:t>
      </w:r>
      <w:r w:rsidRPr="00A345E5">
        <w:rPr>
          <w:rFonts w:cstheme="minorHAnsi"/>
          <w:sz w:val="24"/>
          <w:szCs w:val="24"/>
        </w:rPr>
        <w:t>.</w:t>
      </w:r>
      <w:r w:rsidRPr="00A345E5">
        <w:rPr>
          <w:rFonts w:cstheme="minorHAnsi"/>
          <w:b/>
          <w:sz w:val="24"/>
          <w:szCs w:val="24"/>
        </w:rPr>
        <w:t xml:space="preserve"> </w:t>
      </w:r>
    </w:p>
    <w:p w14:paraId="019E502B" w14:textId="77777777" w:rsidR="001D6AD1" w:rsidRDefault="001D6AD1" w:rsidP="009A297D">
      <w:pPr>
        <w:pStyle w:val="ListParagraph"/>
        <w:numPr>
          <w:ilvl w:val="1"/>
          <w:numId w:val="2"/>
        </w:numPr>
        <w:spacing w:line="259" w:lineRule="auto"/>
        <w:jc w:val="both"/>
        <w:rPr>
          <w:rFonts w:cstheme="minorHAnsi"/>
          <w:sz w:val="24"/>
          <w:szCs w:val="24"/>
        </w:rPr>
      </w:pPr>
      <w:r w:rsidRPr="009B78EF">
        <w:rPr>
          <w:rFonts w:cstheme="minorHAnsi"/>
          <w:sz w:val="24"/>
          <w:szCs w:val="24"/>
        </w:rPr>
        <w:t xml:space="preserve">Key bacteria against </w:t>
      </w:r>
      <w:r>
        <w:rPr>
          <w:rFonts w:cstheme="minorHAnsi"/>
          <w:sz w:val="24"/>
          <w:szCs w:val="24"/>
        </w:rPr>
        <w:t>which PRT</w:t>
      </w:r>
      <w:r w:rsidRPr="009B78EF">
        <w:rPr>
          <w:rFonts w:cstheme="minorHAnsi"/>
          <w:sz w:val="24"/>
          <w:szCs w:val="24"/>
        </w:rPr>
        <w:t xml:space="preserve"> must demonstrate effective </w:t>
      </w:r>
      <w:r>
        <w:rPr>
          <w:rFonts w:cstheme="minorHAnsi"/>
          <w:sz w:val="24"/>
          <w:szCs w:val="24"/>
        </w:rPr>
        <w:t xml:space="preserve">reduction: see Table 1 in the </w:t>
      </w:r>
      <w:r w:rsidRPr="009B78EF">
        <w:rPr>
          <w:rFonts w:cstheme="minorHAnsi"/>
          <w:sz w:val="24"/>
          <w:szCs w:val="24"/>
        </w:rPr>
        <w:t>JPAC guidance “Validation of Plasma and Platelet Pathogen Inactivation”</w:t>
      </w:r>
      <w:r>
        <w:rPr>
          <w:rFonts w:cstheme="minorHAnsi"/>
          <w:sz w:val="24"/>
          <w:szCs w:val="24"/>
        </w:rPr>
        <w:t xml:space="preserve">. </w:t>
      </w:r>
    </w:p>
    <w:p w14:paraId="31762E94" w14:textId="53A7735B" w:rsidR="001D6AD1" w:rsidRPr="00165EC0" w:rsidRDefault="001D6AD1" w:rsidP="009A297D">
      <w:pPr>
        <w:pStyle w:val="ListParagraph"/>
        <w:numPr>
          <w:ilvl w:val="1"/>
          <w:numId w:val="2"/>
        </w:numPr>
        <w:spacing w:line="259" w:lineRule="auto"/>
        <w:jc w:val="both"/>
        <w:rPr>
          <w:rFonts w:cstheme="minorHAnsi"/>
          <w:sz w:val="24"/>
          <w:szCs w:val="24"/>
        </w:rPr>
      </w:pPr>
      <w:r w:rsidRPr="00165EC0">
        <w:rPr>
          <w:rFonts w:cstheme="minorHAnsi"/>
          <w:sz w:val="24"/>
          <w:szCs w:val="24"/>
        </w:rPr>
        <w:t>Viruses that may contaminate BTCs include viruses with a DNA or RNA genome, with and without a lipid membrane, and range in size from small to larger ones. In addition, the pathogenicity of a virus may depend on the patient group and on the BTC being administered. PRT should therefore be shown to be able to remove or inactivate a wide range of viruses if they are to be considered satisfactory. Typically, validation studies have involved at least three virus types, chosen to represent different kinds of agent. A robust, effective and reliable process will be able to remove or inactivate substantial amounts of virus, typically 10</w:t>
      </w:r>
      <w:r w:rsidRPr="00165EC0">
        <w:rPr>
          <w:rFonts w:cstheme="minorHAnsi"/>
          <w:sz w:val="24"/>
          <w:szCs w:val="24"/>
          <w:vertAlign w:val="superscript"/>
        </w:rPr>
        <w:t>4</w:t>
      </w:r>
      <w:r w:rsidRPr="00165EC0">
        <w:rPr>
          <w:rFonts w:cstheme="minorHAnsi"/>
          <w:sz w:val="24"/>
          <w:szCs w:val="24"/>
        </w:rPr>
        <w:t xml:space="preserve"> or more. </w:t>
      </w:r>
      <w:r w:rsidRPr="003E5F4F">
        <w:rPr>
          <w:rFonts w:cstheme="minorHAnsi"/>
          <w:sz w:val="24"/>
          <w:szCs w:val="24"/>
        </w:rPr>
        <w:t>Guidance is available for the selec</w:t>
      </w:r>
      <w:r w:rsidR="003E5F4F">
        <w:rPr>
          <w:rFonts w:cstheme="minorHAnsi"/>
          <w:sz w:val="24"/>
          <w:szCs w:val="24"/>
        </w:rPr>
        <w:t>tion and assay of model viruses</w:t>
      </w:r>
      <w:r w:rsidRPr="003E5F4F">
        <w:rPr>
          <w:rFonts w:cstheme="minorHAnsi"/>
          <w:sz w:val="24"/>
          <w:szCs w:val="24"/>
        </w:rPr>
        <w:t xml:space="preserve"> </w:t>
      </w:r>
      <w:r w:rsidR="003E5F4F">
        <w:rPr>
          <w:rFonts w:cstheme="minorHAnsi"/>
          <w:sz w:val="24"/>
          <w:szCs w:val="24"/>
        </w:rPr>
        <w:t>(</w:t>
      </w:r>
      <w:r w:rsidRPr="003E5F4F">
        <w:rPr>
          <w:rFonts w:cstheme="minorHAnsi"/>
          <w:sz w:val="24"/>
          <w:szCs w:val="24"/>
        </w:rPr>
        <w:t>CPMP/BWP/268/95</w:t>
      </w:r>
      <w:r w:rsidR="003E5F4F">
        <w:rPr>
          <w:rFonts w:cstheme="minorHAnsi"/>
          <w:sz w:val="24"/>
          <w:szCs w:val="24"/>
        </w:rPr>
        <w:t>, Table I)</w:t>
      </w:r>
      <w:r w:rsidRPr="003E5F4F">
        <w:rPr>
          <w:rFonts w:cstheme="minorHAnsi"/>
          <w:sz w:val="24"/>
          <w:szCs w:val="24"/>
        </w:rPr>
        <w:t>.</w:t>
      </w:r>
    </w:p>
    <w:p w14:paraId="0B8E16E5" w14:textId="2526D631" w:rsidR="00F5770F" w:rsidRPr="00A345E5" w:rsidRDefault="00326418" w:rsidP="009A297D">
      <w:pPr>
        <w:pStyle w:val="ListParagraph"/>
        <w:numPr>
          <w:ilvl w:val="0"/>
          <w:numId w:val="2"/>
        </w:numPr>
        <w:jc w:val="both"/>
        <w:rPr>
          <w:rFonts w:cstheme="minorHAnsi"/>
          <w:b/>
          <w:sz w:val="24"/>
          <w:szCs w:val="24"/>
        </w:rPr>
      </w:pPr>
      <w:r w:rsidRPr="00E14801">
        <w:rPr>
          <w:rFonts w:cstheme="minorHAnsi"/>
          <w:b/>
          <w:sz w:val="24"/>
          <w:szCs w:val="24"/>
        </w:rPr>
        <w:t>I</w:t>
      </w:r>
      <w:r w:rsidR="00F5770F" w:rsidRPr="00E14801">
        <w:rPr>
          <w:rFonts w:cstheme="minorHAnsi"/>
          <w:b/>
          <w:sz w:val="24"/>
          <w:szCs w:val="24"/>
        </w:rPr>
        <w:t>nterfering factors</w:t>
      </w:r>
      <w:r w:rsidR="00F5770F" w:rsidRPr="00A345E5">
        <w:rPr>
          <w:rFonts w:cstheme="minorHAnsi"/>
          <w:b/>
          <w:sz w:val="24"/>
          <w:szCs w:val="24"/>
        </w:rPr>
        <w:t xml:space="preserve">. </w:t>
      </w:r>
      <w:r w:rsidR="00F5770F" w:rsidRPr="00A345E5">
        <w:rPr>
          <w:rFonts w:cstheme="minorHAnsi"/>
          <w:sz w:val="24"/>
          <w:szCs w:val="24"/>
        </w:rPr>
        <w:t>Factors which might have an effect on the reduction capacity have to be considered in the validation study (e.g</w:t>
      </w:r>
      <w:r w:rsidR="000910E7" w:rsidRPr="00A345E5">
        <w:rPr>
          <w:rFonts w:cstheme="minorHAnsi"/>
          <w:sz w:val="24"/>
          <w:szCs w:val="24"/>
        </w:rPr>
        <w:t>. hemoglobin concentration in UV</w:t>
      </w:r>
      <w:r w:rsidR="00F5770F" w:rsidRPr="00A345E5">
        <w:rPr>
          <w:rFonts w:cstheme="minorHAnsi"/>
          <w:sz w:val="24"/>
          <w:szCs w:val="24"/>
        </w:rPr>
        <w:t xml:space="preserve"> inactivated platelet concentrates). A monitoring system of these factors should be in place to ensure a level within an acceptable and valid range.</w:t>
      </w:r>
      <w:r w:rsidR="00F5770F" w:rsidRPr="00A345E5">
        <w:rPr>
          <w:rFonts w:cstheme="minorHAnsi"/>
          <w:b/>
          <w:sz w:val="24"/>
          <w:szCs w:val="24"/>
        </w:rPr>
        <w:t xml:space="preserve"> </w:t>
      </w:r>
    </w:p>
    <w:p w14:paraId="5A803632" w14:textId="5816E8FA" w:rsidR="00F5770F" w:rsidRPr="00A345E5" w:rsidRDefault="009C2334" w:rsidP="009A297D">
      <w:pPr>
        <w:pStyle w:val="ListParagraph"/>
        <w:numPr>
          <w:ilvl w:val="0"/>
          <w:numId w:val="2"/>
        </w:numPr>
        <w:jc w:val="both"/>
        <w:rPr>
          <w:rFonts w:cstheme="minorHAnsi"/>
          <w:b/>
          <w:sz w:val="24"/>
          <w:szCs w:val="24"/>
        </w:rPr>
      </w:pPr>
      <w:r>
        <w:rPr>
          <w:rFonts w:cstheme="minorHAnsi"/>
          <w:b/>
          <w:sz w:val="24"/>
          <w:szCs w:val="24"/>
        </w:rPr>
        <w:t>Critical process</w:t>
      </w:r>
      <w:r w:rsidR="00F5770F" w:rsidRPr="00E14801">
        <w:rPr>
          <w:rFonts w:cstheme="minorHAnsi"/>
          <w:b/>
          <w:sz w:val="24"/>
          <w:szCs w:val="24"/>
        </w:rPr>
        <w:t xml:space="preserve"> parameters</w:t>
      </w:r>
      <w:r w:rsidR="00874BBF">
        <w:rPr>
          <w:rFonts w:cstheme="minorHAnsi"/>
          <w:b/>
          <w:sz w:val="24"/>
          <w:szCs w:val="24"/>
        </w:rPr>
        <w:t xml:space="preserve"> (CPP)</w:t>
      </w:r>
      <w:r w:rsidR="00F5770F" w:rsidRPr="00A345E5">
        <w:rPr>
          <w:rFonts w:cstheme="minorHAnsi"/>
          <w:b/>
          <w:sz w:val="24"/>
          <w:szCs w:val="24"/>
        </w:rPr>
        <w:t xml:space="preserve">. </w:t>
      </w:r>
      <w:r w:rsidR="00AA42D3">
        <w:rPr>
          <w:rFonts w:cstheme="minorHAnsi"/>
          <w:sz w:val="24"/>
          <w:szCs w:val="24"/>
        </w:rPr>
        <w:t>CPP</w:t>
      </w:r>
      <w:r w:rsidR="00F5770F" w:rsidRPr="00A345E5">
        <w:rPr>
          <w:rFonts w:cstheme="minorHAnsi"/>
          <w:sz w:val="24"/>
          <w:szCs w:val="24"/>
        </w:rPr>
        <w:t xml:space="preserve">s are used to measure the performance of the </w:t>
      </w:r>
      <w:r w:rsidR="00121134">
        <w:rPr>
          <w:rFonts w:cstheme="minorHAnsi"/>
          <w:sz w:val="24"/>
          <w:szCs w:val="24"/>
        </w:rPr>
        <w:t xml:space="preserve">PRT </w:t>
      </w:r>
      <w:r w:rsidR="00F5770F" w:rsidRPr="00A345E5">
        <w:rPr>
          <w:rFonts w:cstheme="minorHAnsi"/>
          <w:sz w:val="24"/>
          <w:szCs w:val="24"/>
        </w:rPr>
        <w:t>treatment unit, and relate to the reduction performance of the target pathogen (</w:t>
      </w:r>
      <w:r w:rsidR="00121134">
        <w:rPr>
          <w:rFonts w:cstheme="minorHAnsi"/>
          <w:sz w:val="24"/>
          <w:szCs w:val="24"/>
        </w:rPr>
        <w:t xml:space="preserve">PRT </w:t>
      </w:r>
      <w:r w:rsidR="00F5770F" w:rsidRPr="00A345E5">
        <w:rPr>
          <w:rFonts w:cstheme="minorHAnsi"/>
          <w:sz w:val="24"/>
          <w:szCs w:val="24"/>
        </w:rPr>
        <w:t xml:space="preserve">treatment efficacy). Continuous monitoring of </w:t>
      </w:r>
      <w:r w:rsidR="00AA42D3">
        <w:rPr>
          <w:rFonts w:cstheme="minorHAnsi"/>
          <w:sz w:val="24"/>
          <w:szCs w:val="24"/>
        </w:rPr>
        <w:t>CPPs</w:t>
      </w:r>
      <w:r w:rsidR="00F5770F" w:rsidRPr="00A345E5">
        <w:rPr>
          <w:rFonts w:cstheme="minorHAnsi"/>
          <w:sz w:val="24"/>
          <w:szCs w:val="24"/>
        </w:rPr>
        <w:t xml:space="preserve"> provides assurance that the system is under control and alerts operators and control systems </w:t>
      </w:r>
      <w:r w:rsidR="00AA42D3">
        <w:rPr>
          <w:rFonts w:cstheme="minorHAnsi"/>
          <w:sz w:val="24"/>
          <w:szCs w:val="24"/>
        </w:rPr>
        <w:t>if</w:t>
      </w:r>
      <w:r w:rsidR="00AA42D3" w:rsidRPr="00A345E5">
        <w:rPr>
          <w:rFonts w:cstheme="minorHAnsi"/>
          <w:sz w:val="24"/>
          <w:szCs w:val="24"/>
        </w:rPr>
        <w:t xml:space="preserve"> </w:t>
      </w:r>
      <w:r w:rsidR="00121134">
        <w:rPr>
          <w:rFonts w:cstheme="minorHAnsi"/>
          <w:sz w:val="24"/>
          <w:szCs w:val="24"/>
        </w:rPr>
        <w:t xml:space="preserve">PRT </w:t>
      </w:r>
      <w:r w:rsidR="00F5770F" w:rsidRPr="00A345E5">
        <w:rPr>
          <w:rFonts w:cstheme="minorHAnsi"/>
          <w:sz w:val="24"/>
          <w:szCs w:val="24"/>
        </w:rPr>
        <w:t xml:space="preserve">treatment efficacy is reduced to an unacceptable level. </w:t>
      </w:r>
    </w:p>
    <w:p w14:paraId="33DDCAB7" w14:textId="2B5608D6" w:rsidR="007755B4" w:rsidRPr="0018750B" w:rsidRDefault="0018750B" w:rsidP="009A297D">
      <w:pPr>
        <w:pStyle w:val="ListParagraph"/>
        <w:numPr>
          <w:ilvl w:val="0"/>
          <w:numId w:val="2"/>
        </w:numPr>
        <w:jc w:val="both"/>
        <w:rPr>
          <w:rFonts w:cstheme="minorHAnsi"/>
          <w:b/>
          <w:sz w:val="24"/>
          <w:szCs w:val="24"/>
        </w:rPr>
      </w:pPr>
      <w:r w:rsidRPr="0018750B">
        <w:rPr>
          <w:rFonts w:cstheme="minorHAnsi"/>
          <w:b/>
          <w:sz w:val="24"/>
          <w:szCs w:val="24"/>
        </w:rPr>
        <w:t xml:space="preserve">Quantitative assays for each </w:t>
      </w:r>
      <w:r w:rsidR="007B7B17">
        <w:rPr>
          <w:rFonts w:cstheme="minorHAnsi"/>
          <w:b/>
          <w:sz w:val="24"/>
          <w:szCs w:val="24"/>
        </w:rPr>
        <w:t>model</w:t>
      </w:r>
      <w:r w:rsidRPr="0018750B">
        <w:rPr>
          <w:rFonts w:cstheme="minorHAnsi"/>
          <w:b/>
          <w:sz w:val="24"/>
          <w:szCs w:val="24"/>
        </w:rPr>
        <w:t xml:space="preserve"> pathogen</w:t>
      </w:r>
      <w:r w:rsidR="007755B4" w:rsidRPr="0018750B">
        <w:rPr>
          <w:rFonts w:cstheme="minorHAnsi"/>
          <w:b/>
          <w:sz w:val="24"/>
          <w:szCs w:val="24"/>
        </w:rPr>
        <w:t xml:space="preserve">. </w:t>
      </w:r>
      <w:r w:rsidR="007755B4" w:rsidRPr="0018750B">
        <w:rPr>
          <w:rFonts w:cstheme="minorHAnsi"/>
          <w:sz w:val="24"/>
          <w:szCs w:val="24"/>
        </w:rPr>
        <w:t xml:space="preserve">To determine the reduction capacity accurately, validated quantitative assays for each </w:t>
      </w:r>
      <w:r w:rsidR="007B7B17">
        <w:rPr>
          <w:rFonts w:cstheme="minorHAnsi"/>
          <w:sz w:val="24"/>
          <w:szCs w:val="24"/>
        </w:rPr>
        <w:t xml:space="preserve">model </w:t>
      </w:r>
      <w:r w:rsidR="007755B4" w:rsidRPr="0018750B">
        <w:rPr>
          <w:rFonts w:cstheme="minorHAnsi"/>
          <w:sz w:val="24"/>
          <w:szCs w:val="24"/>
        </w:rPr>
        <w:t>pathogen have to be in place</w:t>
      </w:r>
      <w:r w:rsidRPr="0018750B">
        <w:rPr>
          <w:rFonts w:cstheme="minorHAnsi"/>
          <w:sz w:val="24"/>
          <w:szCs w:val="24"/>
        </w:rPr>
        <w:t xml:space="preserve"> at the BE/TE or contracted testing laboratory</w:t>
      </w:r>
      <w:r w:rsidR="007755B4" w:rsidRPr="0018750B">
        <w:rPr>
          <w:rFonts w:cstheme="minorHAnsi"/>
          <w:sz w:val="24"/>
          <w:szCs w:val="24"/>
        </w:rPr>
        <w:t>. These must detect live pathogen. NAT testing will not differentiate between live and inactivated pathogens but can be used in the validation of removal processes.</w:t>
      </w:r>
    </w:p>
    <w:p w14:paraId="05937F86" w14:textId="56DC84F7" w:rsidR="002B2F56" w:rsidRPr="00E14801" w:rsidRDefault="00E9380F" w:rsidP="009A297D">
      <w:pPr>
        <w:pStyle w:val="ListParagraph"/>
        <w:numPr>
          <w:ilvl w:val="0"/>
          <w:numId w:val="2"/>
        </w:numPr>
        <w:spacing w:line="259" w:lineRule="auto"/>
        <w:jc w:val="both"/>
        <w:rPr>
          <w:rFonts w:cstheme="minorHAnsi"/>
          <w:sz w:val="24"/>
          <w:szCs w:val="24"/>
        </w:rPr>
      </w:pPr>
      <w:r>
        <w:rPr>
          <w:rFonts w:cstheme="minorHAnsi"/>
          <w:b/>
          <w:sz w:val="24"/>
          <w:szCs w:val="24"/>
        </w:rPr>
        <w:t>M</w:t>
      </w:r>
      <w:r w:rsidR="002B2F56">
        <w:rPr>
          <w:rFonts w:cstheme="minorHAnsi"/>
          <w:b/>
          <w:sz w:val="24"/>
          <w:szCs w:val="24"/>
        </w:rPr>
        <w:t>odel p</w:t>
      </w:r>
      <w:r>
        <w:rPr>
          <w:rFonts w:cstheme="minorHAnsi"/>
          <w:b/>
          <w:sz w:val="24"/>
          <w:szCs w:val="24"/>
        </w:rPr>
        <w:t>rocess.</w:t>
      </w:r>
      <w:r>
        <w:rPr>
          <w:rFonts w:cstheme="minorHAnsi"/>
          <w:sz w:val="24"/>
          <w:szCs w:val="24"/>
        </w:rPr>
        <w:t xml:space="preserve"> Suitable model process </w:t>
      </w:r>
      <w:r w:rsidR="001A1F8E">
        <w:rPr>
          <w:rFonts w:cstheme="minorHAnsi"/>
          <w:sz w:val="24"/>
          <w:szCs w:val="24"/>
        </w:rPr>
        <w:t>verifies</w:t>
      </w:r>
      <w:r w:rsidR="002B2F56" w:rsidRPr="00E14801">
        <w:rPr>
          <w:rFonts w:cstheme="minorHAnsi"/>
          <w:sz w:val="24"/>
          <w:szCs w:val="24"/>
        </w:rPr>
        <w:t xml:space="preserve"> the </w:t>
      </w:r>
      <w:r w:rsidR="001A1F8E">
        <w:rPr>
          <w:rFonts w:cstheme="minorHAnsi"/>
          <w:sz w:val="24"/>
          <w:szCs w:val="24"/>
        </w:rPr>
        <w:t>PRT</w:t>
      </w:r>
      <w:r w:rsidR="002B2F56" w:rsidRPr="00E14801">
        <w:rPr>
          <w:rFonts w:cstheme="minorHAnsi"/>
          <w:sz w:val="24"/>
          <w:szCs w:val="24"/>
        </w:rPr>
        <w:t xml:space="preserve"> model and its comparability with the proposed/current </w:t>
      </w:r>
      <w:r w:rsidR="002B2F56">
        <w:rPr>
          <w:rFonts w:cstheme="minorHAnsi"/>
          <w:sz w:val="24"/>
          <w:szCs w:val="24"/>
        </w:rPr>
        <w:t xml:space="preserve">preparation </w:t>
      </w:r>
      <w:r w:rsidR="002B2F56" w:rsidRPr="00E14801">
        <w:rPr>
          <w:rFonts w:cstheme="minorHAnsi"/>
          <w:sz w:val="24"/>
          <w:szCs w:val="24"/>
        </w:rPr>
        <w:t>process.</w:t>
      </w:r>
    </w:p>
    <w:p w14:paraId="1BA3089D" w14:textId="77777777" w:rsidR="002F1C48" w:rsidRPr="002F1C48" w:rsidRDefault="00E9380F" w:rsidP="009A297D">
      <w:pPr>
        <w:pStyle w:val="ListParagraph"/>
        <w:numPr>
          <w:ilvl w:val="0"/>
          <w:numId w:val="2"/>
        </w:numPr>
        <w:spacing w:before="240" w:line="259" w:lineRule="auto"/>
        <w:jc w:val="both"/>
        <w:rPr>
          <w:rFonts w:cstheme="minorHAnsi"/>
          <w:sz w:val="24"/>
          <w:szCs w:val="24"/>
          <w:lang w:val="en-GB"/>
        </w:rPr>
      </w:pPr>
      <w:r w:rsidRPr="002F1C48">
        <w:rPr>
          <w:rFonts w:cstheme="minorHAnsi"/>
          <w:b/>
          <w:sz w:val="24"/>
          <w:szCs w:val="24"/>
        </w:rPr>
        <w:t>Controls.</w:t>
      </w:r>
      <w:r w:rsidR="002B2F56" w:rsidRPr="002F1C48">
        <w:rPr>
          <w:rFonts w:cstheme="minorHAnsi"/>
          <w:sz w:val="24"/>
          <w:szCs w:val="24"/>
        </w:rPr>
        <w:t xml:space="preserve"> </w:t>
      </w:r>
      <w:r w:rsidRPr="002F1C48">
        <w:rPr>
          <w:rFonts w:cstheme="minorHAnsi"/>
          <w:sz w:val="24"/>
          <w:szCs w:val="24"/>
        </w:rPr>
        <w:t>Suitable controls demonstrate</w:t>
      </w:r>
      <w:r w:rsidR="002B2F56" w:rsidRPr="002F1C48">
        <w:rPr>
          <w:rFonts w:cstheme="minorHAnsi"/>
          <w:sz w:val="24"/>
          <w:szCs w:val="24"/>
        </w:rPr>
        <w:t xml:space="preserve"> the model of </w:t>
      </w:r>
      <w:r w:rsidRPr="002F1C48">
        <w:rPr>
          <w:rFonts w:cstheme="minorHAnsi"/>
          <w:sz w:val="24"/>
          <w:szCs w:val="24"/>
        </w:rPr>
        <w:t>pathogen</w:t>
      </w:r>
      <w:r w:rsidR="002B2F56" w:rsidRPr="002F1C48">
        <w:rPr>
          <w:rFonts w:cstheme="minorHAnsi"/>
          <w:sz w:val="24"/>
          <w:szCs w:val="24"/>
        </w:rPr>
        <w:t xml:space="preserve"> </w:t>
      </w:r>
      <w:r w:rsidRPr="002F1C48">
        <w:rPr>
          <w:rFonts w:cstheme="minorHAnsi"/>
          <w:sz w:val="24"/>
          <w:szCs w:val="24"/>
        </w:rPr>
        <w:t>reduction</w:t>
      </w:r>
      <w:r w:rsidR="002B2F56" w:rsidRPr="002F1C48">
        <w:rPr>
          <w:rFonts w:cstheme="minorHAnsi"/>
          <w:sz w:val="24"/>
          <w:szCs w:val="24"/>
        </w:rPr>
        <w:t xml:space="preserve">. </w:t>
      </w:r>
    </w:p>
    <w:p w14:paraId="45A2DE15" w14:textId="09BC6608" w:rsidR="002861AF" w:rsidRPr="002F1C48" w:rsidRDefault="002861AF" w:rsidP="002F1C48">
      <w:pPr>
        <w:spacing w:before="240" w:line="259" w:lineRule="auto"/>
        <w:jc w:val="both"/>
        <w:rPr>
          <w:rFonts w:cstheme="minorHAnsi"/>
          <w:sz w:val="24"/>
          <w:szCs w:val="24"/>
          <w:lang w:val="en-GB"/>
        </w:rPr>
      </w:pPr>
      <w:r w:rsidRPr="002F1C48">
        <w:rPr>
          <w:rFonts w:cstheme="minorHAnsi"/>
          <w:sz w:val="24"/>
          <w:szCs w:val="24"/>
          <w:lang w:val="en-GB"/>
        </w:rPr>
        <w:t xml:space="preserve">Additional </w:t>
      </w:r>
      <w:r w:rsidR="001C1F1C" w:rsidRPr="002F1C48">
        <w:rPr>
          <w:rFonts w:cstheme="minorHAnsi"/>
          <w:sz w:val="24"/>
          <w:szCs w:val="24"/>
          <w:lang w:val="en-GB"/>
        </w:rPr>
        <w:t>aspects</w:t>
      </w:r>
      <w:r w:rsidRPr="002F1C48">
        <w:rPr>
          <w:rFonts w:cstheme="minorHAnsi"/>
          <w:sz w:val="24"/>
          <w:szCs w:val="24"/>
          <w:lang w:val="en-GB"/>
        </w:rPr>
        <w:t xml:space="preserve"> for the CA to consider:</w:t>
      </w:r>
    </w:p>
    <w:p w14:paraId="05F31DB9" w14:textId="77777777" w:rsidR="00FE426F" w:rsidRDefault="00F5770F" w:rsidP="009A297D">
      <w:pPr>
        <w:pStyle w:val="ListParagraph"/>
        <w:numPr>
          <w:ilvl w:val="0"/>
          <w:numId w:val="2"/>
        </w:numPr>
        <w:jc w:val="both"/>
        <w:rPr>
          <w:rFonts w:cstheme="minorHAnsi"/>
          <w:sz w:val="24"/>
          <w:szCs w:val="24"/>
        </w:rPr>
      </w:pPr>
      <w:r w:rsidRPr="00A345E5">
        <w:rPr>
          <w:rFonts w:cstheme="minorHAnsi"/>
          <w:sz w:val="24"/>
          <w:szCs w:val="24"/>
        </w:rPr>
        <w:t xml:space="preserve">All validation experiments should be performed in the original matrix. </w:t>
      </w:r>
    </w:p>
    <w:p w14:paraId="4E0D547B" w14:textId="07A6110B" w:rsidR="00F5770F" w:rsidRPr="002461A3" w:rsidRDefault="002461A3" w:rsidP="009A297D">
      <w:pPr>
        <w:pStyle w:val="ListParagraph"/>
        <w:numPr>
          <w:ilvl w:val="0"/>
          <w:numId w:val="2"/>
        </w:numPr>
        <w:jc w:val="both"/>
        <w:rPr>
          <w:rFonts w:cstheme="minorHAnsi"/>
          <w:sz w:val="24"/>
          <w:szCs w:val="24"/>
        </w:rPr>
      </w:pPr>
      <w:r w:rsidRPr="002461A3">
        <w:rPr>
          <w:rFonts w:cstheme="minorHAnsi"/>
          <w:sz w:val="24"/>
          <w:szCs w:val="24"/>
        </w:rPr>
        <w:t xml:space="preserve">Critical reagents and materials must </w:t>
      </w:r>
      <w:r>
        <w:rPr>
          <w:rFonts w:cstheme="minorHAnsi"/>
          <w:sz w:val="24"/>
          <w:szCs w:val="24"/>
        </w:rPr>
        <w:t xml:space="preserve">be CE-marked, </w:t>
      </w:r>
      <w:r w:rsidRPr="002461A3">
        <w:rPr>
          <w:rFonts w:cstheme="minorHAnsi"/>
          <w:sz w:val="24"/>
          <w:szCs w:val="24"/>
        </w:rPr>
        <w:t>when applicable</w:t>
      </w:r>
      <w:r>
        <w:rPr>
          <w:rFonts w:cstheme="minorHAnsi"/>
          <w:sz w:val="24"/>
          <w:szCs w:val="24"/>
        </w:rPr>
        <w:t xml:space="preserve"> (Directive 2006/86/EC, Annex I</w:t>
      </w:r>
      <w:r w:rsidR="00E30A2A">
        <w:rPr>
          <w:rFonts w:cstheme="minorHAnsi"/>
          <w:sz w:val="24"/>
          <w:szCs w:val="24"/>
        </w:rPr>
        <w:t>, C.6</w:t>
      </w:r>
      <w:r w:rsidR="00884601">
        <w:rPr>
          <w:rFonts w:cstheme="minorHAnsi"/>
          <w:sz w:val="24"/>
          <w:szCs w:val="24"/>
        </w:rPr>
        <w:t xml:space="preserve">; and Directive </w:t>
      </w:r>
      <w:r w:rsidR="00D11156">
        <w:rPr>
          <w:rFonts w:cstheme="minorHAnsi"/>
          <w:sz w:val="24"/>
          <w:szCs w:val="24"/>
        </w:rPr>
        <w:t xml:space="preserve">(EU) </w:t>
      </w:r>
      <w:r w:rsidR="00884601">
        <w:rPr>
          <w:rFonts w:cstheme="minorHAnsi"/>
          <w:sz w:val="24"/>
          <w:szCs w:val="24"/>
        </w:rPr>
        <w:t>2016/1214</w:t>
      </w:r>
      <w:r w:rsidR="00D11156">
        <w:rPr>
          <w:rFonts w:cstheme="minorHAnsi"/>
          <w:sz w:val="24"/>
          <w:szCs w:val="24"/>
        </w:rPr>
        <w:t xml:space="preserve"> Art. 1</w:t>
      </w:r>
      <w:r w:rsidR="00884601">
        <w:rPr>
          <w:rFonts w:cstheme="minorHAnsi"/>
          <w:sz w:val="24"/>
          <w:szCs w:val="24"/>
        </w:rPr>
        <w:t>, Good Practice Guidelines 4.1.9</w:t>
      </w:r>
      <w:r>
        <w:rPr>
          <w:rFonts w:cstheme="minorHAnsi"/>
          <w:sz w:val="24"/>
          <w:szCs w:val="24"/>
        </w:rPr>
        <w:t>)</w:t>
      </w:r>
      <w:r w:rsidR="00E30A2A">
        <w:rPr>
          <w:rFonts w:cstheme="minorHAnsi"/>
          <w:sz w:val="24"/>
          <w:szCs w:val="24"/>
        </w:rPr>
        <w:t>.</w:t>
      </w:r>
      <w:r>
        <w:rPr>
          <w:rFonts w:cstheme="minorHAnsi"/>
          <w:sz w:val="24"/>
          <w:szCs w:val="24"/>
        </w:rPr>
        <w:t xml:space="preserve"> </w:t>
      </w:r>
      <w:r w:rsidR="00F5770F" w:rsidRPr="002461A3">
        <w:rPr>
          <w:rFonts w:cstheme="minorHAnsi"/>
          <w:sz w:val="24"/>
          <w:szCs w:val="24"/>
        </w:rPr>
        <w:t xml:space="preserve">Materials that are rare or expensive can be replaced by an appropriate surrogate. </w:t>
      </w:r>
    </w:p>
    <w:p w14:paraId="1F1B3B08" w14:textId="3700A286" w:rsidR="002861AF" w:rsidRPr="00886749" w:rsidRDefault="002861AF" w:rsidP="009A297D">
      <w:pPr>
        <w:pStyle w:val="ListParagraph"/>
        <w:numPr>
          <w:ilvl w:val="0"/>
          <w:numId w:val="2"/>
        </w:numPr>
        <w:jc w:val="both"/>
        <w:rPr>
          <w:rFonts w:cstheme="minorHAnsi"/>
          <w:sz w:val="24"/>
          <w:szCs w:val="24"/>
        </w:rPr>
      </w:pPr>
      <w:r w:rsidRPr="00886749">
        <w:rPr>
          <w:rFonts w:cstheme="minorHAnsi"/>
          <w:sz w:val="24"/>
          <w:szCs w:val="24"/>
        </w:rPr>
        <w:lastRenderedPageBreak/>
        <w:t xml:space="preserve">PRT should be carried out at as short interval </w:t>
      </w:r>
      <w:r w:rsidR="00FE426F" w:rsidRPr="00886749">
        <w:rPr>
          <w:rFonts w:cstheme="minorHAnsi"/>
          <w:sz w:val="24"/>
          <w:szCs w:val="24"/>
        </w:rPr>
        <w:t>after BTC donation as possible</w:t>
      </w:r>
      <w:r w:rsidR="00A55965" w:rsidRPr="00886749">
        <w:rPr>
          <w:rFonts w:cstheme="minorHAnsi"/>
          <w:sz w:val="24"/>
          <w:szCs w:val="24"/>
        </w:rPr>
        <w:t xml:space="preserve"> (usually within 24 hours)</w:t>
      </w:r>
      <w:r w:rsidR="00FE426F" w:rsidRPr="00886749">
        <w:rPr>
          <w:rFonts w:cstheme="minorHAnsi"/>
          <w:sz w:val="24"/>
          <w:szCs w:val="24"/>
        </w:rPr>
        <w:t>.</w:t>
      </w:r>
      <w:r w:rsidRPr="00886749">
        <w:rPr>
          <w:rFonts w:cstheme="minorHAnsi"/>
          <w:sz w:val="24"/>
          <w:szCs w:val="24"/>
        </w:rPr>
        <w:t xml:space="preserve"> If commercial PRT kit is used, manufacturer gives instructions on the maximum interval and these instructions should be followed. If PRT is carried out later during which time bacteria have multiplied, the level of bacteria may be significantly higher. </w:t>
      </w:r>
      <w:r w:rsidR="00886749">
        <w:rPr>
          <w:rFonts w:cstheme="minorHAnsi"/>
          <w:sz w:val="24"/>
          <w:szCs w:val="24"/>
        </w:rPr>
        <w:t xml:space="preserve">Additionally, </w:t>
      </w:r>
      <w:r w:rsidR="00886749" w:rsidRPr="00886749">
        <w:rPr>
          <w:rFonts w:cstheme="minorHAnsi"/>
          <w:sz w:val="24"/>
          <w:szCs w:val="24"/>
        </w:rPr>
        <w:t>growth of bacteria may lead to the formation of pyrogenic agents and endotoxin</w:t>
      </w:r>
      <w:r w:rsidR="00886749">
        <w:rPr>
          <w:rFonts w:cstheme="minorHAnsi"/>
          <w:sz w:val="24"/>
          <w:szCs w:val="24"/>
        </w:rPr>
        <w:t>.</w:t>
      </w:r>
      <w:r w:rsidR="00886749" w:rsidRPr="00886749">
        <w:rPr>
          <w:rFonts w:cstheme="minorHAnsi"/>
          <w:sz w:val="24"/>
          <w:szCs w:val="24"/>
        </w:rPr>
        <w:t xml:space="preserve"> </w:t>
      </w:r>
      <w:r w:rsidRPr="00886749">
        <w:rPr>
          <w:rFonts w:cstheme="minorHAnsi"/>
          <w:sz w:val="24"/>
          <w:szCs w:val="24"/>
        </w:rPr>
        <w:t xml:space="preserve">(JPAC Transfusion guidelines, Validation of plasma and platelet pathogen inactivation, 2019). </w:t>
      </w:r>
    </w:p>
    <w:p w14:paraId="2F911BDA" w14:textId="32B915EE" w:rsidR="002861AF" w:rsidRDefault="002861AF" w:rsidP="009A297D">
      <w:pPr>
        <w:pStyle w:val="ListParagraph"/>
        <w:numPr>
          <w:ilvl w:val="0"/>
          <w:numId w:val="2"/>
        </w:numPr>
        <w:jc w:val="both"/>
        <w:rPr>
          <w:rFonts w:cstheme="minorHAnsi"/>
          <w:sz w:val="24"/>
          <w:szCs w:val="24"/>
        </w:rPr>
      </w:pPr>
      <w:r w:rsidRPr="00A345E5">
        <w:rPr>
          <w:rFonts w:cstheme="minorHAnsi"/>
          <w:sz w:val="24"/>
          <w:szCs w:val="24"/>
        </w:rPr>
        <w:t>The product matrix and its components might have a significant effect on the model organisms and its behavior (e.g. complement killing of bacteria). Bacteria can start to grow in the product after spiking thereby altering the initial spiking concentration. A non-inactivated control should be performed in parallel.</w:t>
      </w:r>
    </w:p>
    <w:p w14:paraId="018B1066" w14:textId="560E4787" w:rsidR="00FF3D3F" w:rsidRPr="00A345E5" w:rsidRDefault="00FF3D3F" w:rsidP="009A297D">
      <w:pPr>
        <w:pStyle w:val="ListParagraph"/>
        <w:numPr>
          <w:ilvl w:val="0"/>
          <w:numId w:val="2"/>
        </w:numPr>
        <w:jc w:val="both"/>
        <w:rPr>
          <w:rFonts w:cstheme="minorHAnsi"/>
          <w:sz w:val="24"/>
          <w:szCs w:val="24"/>
        </w:rPr>
      </w:pPr>
      <w:r w:rsidRPr="00FF3D3F">
        <w:rPr>
          <w:rFonts w:cstheme="minorHAnsi"/>
          <w:sz w:val="24"/>
          <w:szCs w:val="24"/>
        </w:rPr>
        <w:t xml:space="preserve">In order to be able to provide evidence that a chosen PRT process can reliably decrease the number of contaminants in a given BTC, deliberately contaminated BTC need to be prepared by adding known and defined micro-organisms. </w:t>
      </w:r>
      <w:r>
        <w:rPr>
          <w:rFonts w:cstheme="minorHAnsi"/>
          <w:sz w:val="24"/>
          <w:szCs w:val="24"/>
        </w:rPr>
        <w:t>Certain</w:t>
      </w:r>
      <w:r w:rsidRPr="00FF3D3F">
        <w:rPr>
          <w:rFonts w:cstheme="minorHAnsi"/>
          <w:sz w:val="24"/>
          <w:szCs w:val="24"/>
        </w:rPr>
        <w:t xml:space="preserve"> requirements (e.g. EU GMP Guidelines chapter 5.18) might restrict the deliberate use of potential contaminants in the production facilities. For validation purposes, it should be avoided to share equipment and facilities due to the risk of cross-contaminations. Exemptions can be made in cases in which validation procedures are performed in closed systems.</w:t>
      </w:r>
    </w:p>
    <w:p w14:paraId="31ACE22F" w14:textId="3C410593" w:rsidR="002861AF" w:rsidRPr="00611978" w:rsidRDefault="00714A89" w:rsidP="009A297D">
      <w:pPr>
        <w:pStyle w:val="ListParagraph"/>
        <w:numPr>
          <w:ilvl w:val="0"/>
          <w:numId w:val="2"/>
        </w:numPr>
        <w:jc w:val="both"/>
        <w:rPr>
          <w:rFonts w:cstheme="minorHAnsi"/>
          <w:sz w:val="24"/>
          <w:szCs w:val="24"/>
        </w:rPr>
      </w:pPr>
      <w:r w:rsidRPr="00A345E5">
        <w:rPr>
          <w:rFonts w:cstheme="minorHAnsi"/>
          <w:sz w:val="24"/>
          <w:szCs w:val="24"/>
        </w:rPr>
        <w:t>Re-validation should be performed in case of change of facility, change of process or any relevant new knowledge.</w:t>
      </w:r>
    </w:p>
    <w:p w14:paraId="3D68FF03" w14:textId="14E32B61" w:rsidR="007D5C4E" w:rsidRPr="00E14801" w:rsidRDefault="00F07F80" w:rsidP="009A297D">
      <w:pPr>
        <w:pStyle w:val="Heading2"/>
        <w:numPr>
          <w:ilvl w:val="1"/>
          <w:numId w:val="16"/>
        </w:numPr>
      </w:pPr>
      <w:bookmarkStart w:id="24" w:name="_Toc41427161"/>
      <w:r w:rsidRPr="004E0E20">
        <w:t xml:space="preserve">Validation </w:t>
      </w:r>
      <w:r w:rsidR="00980700" w:rsidRPr="004E0E20">
        <w:t>criteria</w:t>
      </w:r>
      <w:bookmarkEnd w:id="24"/>
    </w:p>
    <w:p w14:paraId="4347E8C1" w14:textId="77777777" w:rsidR="00C43D91" w:rsidRDefault="00C43D91" w:rsidP="00C43D91">
      <w:pPr>
        <w:spacing w:before="240"/>
        <w:jc w:val="both"/>
        <w:rPr>
          <w:rFonts w:cstheme="minorHAnsi"/>
          <w:sz w:val="24"/>
          <w:szCs w:val="24"/>
          <w:lang w:val="en-GB"/>
        </w:rPr>
      </w:pPr>
      <w:r w:rsidRPr="00DA58EB">
        <w:rPr>
          <w:rFonts w:cstheme="minorHAnsi"/>
          <w:sz w:val="24"/>
          <w:szCs w:val="24"/>
          <w:lang w:val="en-GB"/>
        </w:rPr>
        <w:t xml:space="preserve">The methodology for the statistical assessment of pathogen reduction assays and limitations of such studies have been described previously (CPMP/BWP/268/95; CPMP/ICH/295/95). </w:t>
      </w:r>
    </w:p>
    <w:p w14:paraId="7838E71C" w14:textId="0FE2B0B4" w:rsidR="00064039" w:rsidRPr="00E14801" w:rsidRDefault="00C43D91" w:rsidP="00C43D91">
      <w:pPr>
        <w:spacing w:before="240"/>
        <w:jc w:val="both"/>
        <w:rPr>
          <w:rFonts w:cstheme="minorHAnsi"/>
          <w:sz w:val="24"/>
          <w:szCs w:val="24"/>
        </w:rPr>
      </w:pPr>
      <w:r>
        <w:rPr>
          <w:rFonts w:cstheme="minorHAnsi"/>
          <w:sz w:val="24"/>
          <w:szCs w:val="24"/>
          <w:lang w:val="en-GB"/>
        </w:rPr>
        <w:t>In summary, the</w:t>
      </w:r>
      <w:r w:rsidR="00064039" w:rsidRPr="005D5606">
        <w:rPr>
          <w:rFonts w:cstheme="minorHAnsi"/>
          <w:sz w:val="24"/>
          <w:szCs w:val="24"/>
          <w:lang w:val="en-GB"/>
        </w:rPr>
        <w:t xml:space="preserve"> validation will result in a set of data for</w:t>
      </w:r>
      <w:r w:rsidR="00064039" w:rsidRPr="00E14801">
        <w:rPr>
          <w:rFonts w:cstheme="minorHAnsi"/>
          <w:sz w:val="24"/>
          <w:szCs w:val="24"/>
        </w:rPr>
        <w:t xml:space="preserve"> each pathogen or representative model used in the spiking study. </w:t>
      </w:r>
    </w:p>
    <w:p w14:paraId="53081262" w14:textId="3ED8A270" w:rsidR="00BA2EC0" w:rsidRDefault="00C43D91" w:rsidP="0011204D">
      <w:pPr>
        <w:spacing w:before="240"/>
        <w:jc w:val="both"/>
        <w:rPr>
          <w:rFonts w:cstheme="minorHAnsi"/>
          <w:sz w:val="24"/>
          <w:szCs w:val="24"/>
          <w:lang w:val="en-GB"/>
        </w:rPr>
      </w:pPr>
      <w:r w:rsidRPr="005D5606">
        <w:rPr>
          <w:rFonts w:cstheme="minorHAnsi"/>
          <w:sz w:val="24"/>
          <w:szCs w:val="24"/>
          <w:lang w:val="en-GB"/>
        </w:rPr>
        <w:t xml:space="preserve">The titre of </w:t>
      </w:r>
      <w:r>
        <w:rPr>
          <w:rFonts w:cstheme="minorHAnsi"/>
          <w:sz w:val="24"/>
          <w:szCs w:val="24"/>
          <w:lang w:val="en-GB"/>
        </w:rPr>
        <w:t xml:space="preserve">the spiked test material before undertaking the scale model PRT can be compared to the titre of the </w:t>
      </w:r>
      <w:r w:rsidRPr="005D5606">
        <w:rPr>
          <w:rFonts w:cstheme="minorHAnsi"/>
          <w:sz w:val="24"/>
          <w:szCs w:val="24"/>
          <w:lang w:val="en-GB"/>
        </w:rPr>
        <w:t>sample</w:t>
      </w:r>
      <w:r>
        <w:rPr>
          <w:rFonts w:cstheme="minorHAnsi"/>
          <w:sz w:val="24"/>
          <w:szCs w:val="24"/>
          <w:lang w:val="en-GB"/>
        </w:rPr>
        <w:t>(</w:t>
      </w:r>
      <w:r w:rsidRPr="005D5606">
        <w:rPr>
          <w:rFonts w:cstheme="minorHAnsi"/>
          <w:sz w:val="24"/>
          <w:szCs w:val="24"/>
          <w:lang w:val="en-GB"/>
        </w:rPr>
        <w:t>s</w:t>
      </w:r>
      <w:r>
        <w:rPr>
          <w:rFonts w:cstheme="minorHAnsi"/>
          <w:sz w:val="24"/>
          <w:szCs w:val="24"/>
          <w:lang w:val="en-GB"/>
        </w:rPr>
        <w:t>)</w:t>
      </w:r>
      <w:r w:rsidRPr="005D5606">
        <w:rPr>
          <w:rFonts w:cstheme="minorHAnsi"/>
          <w:sz w:val="24"/>
          <w:szCs w:val="24"/>
          <w:lang w:val="en-GB"/>
        </w:rPr>
        <w:t xml:space="preserve"> collected</w:t>
      </w:r>
      <w:r>
        <w:rPr>
          <w:rFonts w:cstheme="minorHAnsi"/>
          <w:sz w:val="24"/>
          <w:szCs w:val="24"/>
          <w:lang w:val="en-GB"/>
        </w:rPr>
        <w:t xml:space="preserve"> </w:t>
      </w:r>
      <w:r w:rsidRPr="005D5606">
        <w:rPr>
          <w:rFonts w:cstheme="minorHAnsi"/>
          <w:sz w:val="24"/>
          <w:szCs w:val="24"/>
          <w:lang w:val="en-GB"/>
        </w:rPr>
        <w:t>from the test material when the scale model process</w:t>
      </w:r>
      <w:r>
        <w:rPr>
          <w:rFonts w:cstheme="minorHAnsi"/>
          <w:sz w:val="24"/>
          <w:szCs w:val="24"/>
          <w:lang w:val="en-GB"/>
        </w:rPr>
        <w:t xml:space="preserve"> has been c</w:t>
      </w:r>
      <w:r w:rsidRPr="005D5606">
        <w:rPr>
          <w:rFonts w:cstheme="minorHAnsi"/>
          <w:sz w:val="24"/>
          <w:szCs w:val="24"/>
          <w:lang w:val="en-GB"/>
        </w:rPr>
        <w:t xml:space="preserve">ompleted, in order to determine the </w:t>
      </w:r>
      <w:r>
        <w:rPr>
          <w:rFonts w:cstheme="minorHAnsi"/>
          <w:sz w:val="24"/>
          <w:szCs w:val="24"/>
          <w:lang w:val="en-GB"/>
        </w:rPr>
        <w:t xml:space="preserve">overall </w:t>
      </w:r>
      <w:r w:rsidRPr="005D5606">
        <w:rPr>
          <w:rFonts w:cstheme="minorHAnsi"/>
          <w:sz w:val="24"/>
          <w:szCs w:val="24"/>
          <w:lang w:val="en-GB"/>
        </w:rPr>
        <w:t>pathogen reduction achieved. Sample</w:t>
      </w:r>
      <w:r>
        <w:rPr>
          <w:rFonts w:cstheme="minorHAnsi"/>
          <w:sz w:val="24"/>
          <w:szCs w:val="24"/>
          <w:lang w:val="en-GB"/>
        </w:rPr>
        <w:t xml:space="preserve"> </w:t>
      </w:r>
      <w:r w:rsidRPr="005D5606">
        <w:rPr>
          <w:rFonts w:cstheme="minorHAnsi"/>
          <w:sz w:val="24"/>
          <w:szCs w:val="24"/>
          <w:lang w:val="en-GB"/>
        </w:rPr>
        <w:t xml:space="preserve">titres and reduction figures </w:t>
      </w:r>
      <w:r>
        <w:rPr>
          <w:rFonts w:cstheme="minorHAnsi"/>
          <w:sz w:val="24"/>
          <w:szCs w:val="24"/>
          <w:lang w:val="en-GB"/>
        </w:rPr>
        <w:t xml:space="preserve">achieved </w:t>
      </w:r>
      <w:r w:rsidRPr="005D5606">
        <w:rPr>
          <w:rFonts w:cstheme="minorHAnsi"/>
          <w:sz w:val="24"/>
          <w:szCs w:val="24"/>
          <w:lang w:val="en-GB"/>
        </w:rPr>
        <w:t>are normally reported on a logarithmic scale</w:t>
      </w:r>
      <w:r>
        <w:rPr>
          <w:rFonts w:cstheme="minorHAnsi"/>
          <w:sz w:val="24"/>
          <w:szCs w:val="24"/>
          <w:lang w:val="en-GB"/>
        </w:rPr>
        <w:t>. The reduction achieved for each pathogen or appropriate model should be reported and include the</w:t>
      </w:r>
      <w:r w:rsidR="00705190">
        <w:rPr>
          <w:rFonts w:cstheme="minorHAnsi"/>
          <w:sz w:val="24"/>
          <w:szCs w:val="24"/>
          <w:lang w:val="en-GB"/>
        </w:rPr>
        <w:t xml:space="preserve"> 95% confidence interval</w:t>
      </w:r>
      <w:r w:rsidRPr="005D5606">
        <w:rPr>
          <w:rFonts w:cstheme="minorHAnsi"/>
          <w:sz w:val="24"/>
          <w:szCs w:val="24"/>
          <w:lang w:val="en-GB"/>
        </w:rPr>
        <w:t>s wherever possible.</w:t>
      </w:r>
      <w:r w:rsidR="00064039" w:rsidRPr="005D5606">
        <w:rPr>
          <w:rFonts w:cstheme="minorHAnsi"/>
          <w:sz w:val="24"/>
          <w:szCs w:val="24"/>
          <w:lang w:val="en-GB"/>
        </w:rPr>
        <w:t xml:space="preserve"> </w:t>
      </w:r>
    </w:p>
    <w:p w14:paraId="17DC878B" w14:textId="28736CB5" w:rsidR="007D082A" w:rsidRPr="005D5606" w:rsidRDefault="007D082A" w:rsidP="007D082A">
      <w:pPr>
        <w:spacing w:before="240"/>
        <w:jc w:val="both"/>
        <w:rPr>
          <w:rFonts w:cstheme="minorHAnsi"/>
          <w:sz w:val="24"/>
          <w:szCs w:val="24"/>
          <w:lang w:val="en-GB"/>
        </w:rPr>
      </w:pPr>
      <w:r w:rsidRPr="007D082A">
        <w:rPr>
          <w:rFonts w:cstheme="minorHAnsi"/>
          <w:sz w:val="24"/>
          <w:szCs w:val="24"/>
          <w:lang w:val="en-GB"/>
        </w:rPr>
        <w:t>Although it is considered that the level of</w:t>
      </w:r>
      <w:r>
        <w:rPr>
          <w:rFonts w:cstheme="minorHAnsi"/>
          <w:sz w:val="24"/>
          <w:szCs w:val="24"/>
          <w:lang w:val="en-GB"/>
        </w:rPr>
        <w:t xml:space="preserve"> </w:t>
      </w:r>
      <w:r w:rsidRPr="007D082A">
        <w:rPr>
          <w:rFonts w:cstheme="minorHAnsi"/>
          <w:sz w:val="24"/>
          <w:szCs w:val="24"/>
          <w:lang w:val="en-GB"/>
        </w:rPr>
        <w:t xml:space="preserve">bacterial contamination in </w:t>
      </w:r>
      <w:r>
        <w:rPr>
          <w:rFonts w:cstheme="minorHAnsi"/>
          <w:sz w:val="24"/>
          <w:szCs w:val="24"/>
          <w:lang w:val="en-GB"/>
        </w:rPr>
        <w:t>blood</w:t>
      </w:r>
      <w:r w:rsidRPr="007D082A">
        <w:rPr>
          <w:rFonts w:cstheme="minorHAnsi"/>
          <w:sz w:val="24"/>
          <w:szCs w:val="24"/>
          <w:lang w:val="en-GB"/>
        </w:rPr>
        <w:t xml:space="preserve"> donation which may result in clinically significant</w:t>
      </w:r>
      <w:r>
        <w:rPr>
          <w:rFonts w:cstheme="minorHAnsi"/>
          <w:sz w:val="24"/>
          <w:szCs w:val="24"/>
          <w:lang w:val="en-GB"/>
        </w:rPr>
        <w:t xml:space="preserve"> </w:t>
      </w:r>
      <w:r w:rsidRPr="007D082A">
        <w:rPr>
          <w:rFonts w:cstheme="minorHAnsi"/>
          <w:sz w:val="24"/>
          <w:szCs w:val="24"/>
          <w:lang w:val="en-GB"/>
        </w:rPr>
        <w:t xml:space="preserve">levels of bacteria in stored platelet components is no more than 20 </w:t>
      </w:r>
      <w:r w:rsidRPr="007D082A">
        <w:rPr>
          <w:rFonts w:cstheme="minorHAnsi"/>
          <w:sz w:val="24"/>
          <w:szCs w:val="24"/>
          <w:lang w:val="en-GB"/>
        </w:rPr>
        <w:lastRenderedPageBreak/>
        <w:t>cfu/ml, a higher</w:t>
      </w:r>
      <w:r>
        <w:rPr>
          <w:rFonts w:cstheme="minorHAnsi"/>
          <w:sz w:val="24"/>
          <w:szCs w:val="24"/>
          <w:lang w:val="en-GB"/>
        </w:rPr>
        <w:t xml:space="preserve"> </w:t>
      </w:r>
      <w:r w:rsidRPr="007D082A">
        <w:rPr>
          <w:rFonts w:cstheme="minorHAnsi"/>
          <w:sz w:val="24"/>
          <w:szCs w:val="24"/>
          <w:lang w:val="en-GB"/>
        </w:rPr>
        <w:t xml:space="preserve">minimum proven level of </w:t>
      </w:r>
      <w:r>
        <w:rPr>
          <w:rFonts w:cstheme="minorHAnsi"/>
          <w:sz w:val="24"/>
          <w:szCs w:val="24"/>
          <w:lang w:val="en-GB"/>
        </w:rPr>
        <w:t>pathogen reduction</w:t>
      </w:r>
      <w:r w:rsidRPr="007D082A">
        <w:rPr>
          <w:rFonts w:cstheme="minorHAnsi"/>
          <w:sz w:val="24"/>
          <w:szCs w:val="24"/>
          <w:lang w:val="en-GB"/>
        </w:rPr>
        <w:t xml:space="preserve"> must be demonstrated</w:t>
      </w:r>
      <w:r>
        <w:rPr>
          <w:rFonts w:cstheme="minorHAnsi"/>
          <w:sz w:val="24"/>
          <w:szCs w:val="24"/>
          <w:lang w:val="en-GB"/>
        </w:rPr>
        <w:t>: PRT</w:t>
      </w:r>
      <w:r w:rsidRPr="007D082A">
        <w:rPr>
          <w:rFonts w:cstheme="minorHAnsi"/>
          <w:sz w:val="24"/>
          <w:szCs w:val="24"/>
          <w:lang w:val="en-GB"/>
        </w:rPr>
        <w:t xml:space="preserve"> must reduce any</w:t>
      </w:r>
      <w:r>
        <w:rPr>
          <w:rFonts w:cstheme="minorHAnsi"/>
          <w:sz w:val="24"/>
          <w:szCs w:val="24"/>
          <w:lang w:val="en-GB"/>
        </w:rPr>
        <w:t xml:space="preserve"> </w:t>
      </w:r>
      <w:r w:rsidRPr="007D082A">
        <w:rPr>
          <w:rFonts w:cstheme="minorHAnsi"/>
          <w:sz w:val="24"/>
          <w:szCs w:val="24"/>
          <w:lang w:val="en-GB"/>
        </w:rPr>
        <w:t>bacterial contamination b</w:t>
      </w:r>
      <w:r>
        <w:rPr>
          <w:rFonts w:cstheme="minorHAnsi"/>
          <w:sz w:val="24"/>
          <w:szCs w:val="24"/>
          <w:lang w:val="en-GB"/>
        </w:rPr>
        <w:t>y the amount specified i.e. 10</w:t>
      </w:r>
      <w:r w:rsidRPr="007D082A">
        <w:rPr>
          <w:rFonts w:cstheme="minorHAnsi"/>
          <w:sz w:val="24"/>
          <w:szCs w:val="24"/>
          <w:vertAlign w:val="superscript"/>
          <w:lang w:val="en-GB"/>
        </w:rPr>
        <w:t>4</w:t>
      </w:r>
      <w:r w:rsidRPr="007D082A">
        <w:rPr>
          <w:rFonts w:cstheme="minorHAnsi"/>
          <w:sz w:val="24"/>
          <w:szCs w:val="24"/>
          <w:lang w:val="en-GB"/>
        </w:rPr>
        <w:t xml:space="preserve"> to ensure maximum</w:t>
      </w:r>
      <w:r>
        <w:rPr>
          <w:rFonts w:cstheme="minorHAnsi"/>
          <w:sz w:val="24"/>
          <w:szCs w:val="24"/>
          <w:lang w:val="en-GB"/>
        </w:rPr>
        <w:t xml:space="preserve"> </w:t>
      </w:r>
      <w:r w:rsidRPr="007D082A">
        <w:rPr>
          <w:rFonts w:cstheme="minorHAnsi"/>
          <w:sz w:val="24"/>
          <w:szCs w:val="24"/>
          <w:lang w:val="en-GB"/>
        </w:rPr>
        <w:t>effectiveness.</w:t>
      </w:r>
      <w:r>
        <w:rPr>
          <w:rFonts w:cstheme="minorHAnsi"/>
          <w:sz w:val="24"/>
          <w:szCs w:val="24"/>
          <w:lang w:val="en-GB"/>
        </w:rPr>
        <w:t xml:space="preserve"> (JPAC guidance “</w:t>
      </w:r>
      <w:r w:rsidRPr="001308B4">
        <w:rPr>
          <w:rFonts w:cstheme="minorHAnsi"/>
          <w:sz w:val="24"/>
          <w:szCs w:val="24"/>
          <w:lang w:val="en-GB"/>
        </w:rPr>
        <w:t>Validation of Plasma and Platelet Pathogen Inactivation</w:t>
      </w:r>
      <w:r>
        <w:rPr>
          <w:rFonts w:cstheme="minorHAnsi"/>
          <w:sz w:val="24"/>
          <w:szCs w:val="24"/>
          <w:lang w:val="en-GB"/>
        </w:rPr>
        <w:t>”)</w:t>
      </w:r>
    </w:p>
    <w:p w14:paraId="215903D5" w14:textId="3312176D" w:rsidR="00064039" w:rsidRDefault="00422C79" w:rsidP="0011204D">
      <w:pPr>
        <w:spacing w:before="240"/>
        <w:jc w:val="both"/>
        <w:rPr>
          <w:rFonts w:cstheme="minorHAnsi"/>
          <w:sz w:val="24"/>
          <w:szCs w:val="24"/>
          <w:lang w:val="en-GB"/>
        </w:rPr>
      </w:pPr>
      <w:r w:rsidRPr="005D5606">
        <w:rPr>
          <w:rFonts w:cstheme="minorHAnsi"/>
          <w:sz w:val="24"/>
          <w:szCs w:val="24"/>
          <w:lang w:val="en-GB"/>
        </w:rPr>
        <w:t xml:space="preserve">Validation reports should include </w:t>
      </w:r>
      <w:r w:rsidR="00C43D91">
        <w:rPr>
          <w:rFonts w:cstheme="minorHAnsi"/>
          <w:sz w:val="24"/>
          <w:szCs w:val="24"/>
          <w:lang w:val="en-GB"/>
        </w:rPr>
        <w:t xml:space="preserve">a </w:t>
      </w:r>
      <w:r w:rsidRPr="005D5606">
        <w:rPr>
          <w:rFonts w:cstheme="minorHAnsi"/>
          <w:sz w:val="24"/>
          <w:szCs w:val="24"/>
          <w:lang w:val="en-GB"/>
        </w:rPr>
        <w:t xml:space="preserve">discussion of the suitability of the scale model system, taking into consideration the results from </w:t>
      </w:r>
      <w:r w:rsidR="00C43D91">
        <w:rPr>
          <w:rFonts w:cstheme="minorHAnsi"/>
          <w:sz w:val="24"/>
          <w:szCs w:val="24"/>
          <w:lang w:val="en-GB"/>
        </w:rPr>
        <w:t xml:space="preserve">appropriate </w:t>
      </w:r>
      <w:r w:rsidRPr="005D5606">
        <w:rPr>
          <w:rFonts w:cstheme="minorHAnsi"/>
          <w:sz w:val="24"/>
          <w:szCs w:val="24"/>
          <w:lang w:val="en-GB"/>
        </w:rPr>
        <w:t>assay control samples, and the degree to which these support the proposed mechanism of pathogen reduction.</w:t>
      </w:r>
      <w:r w:rsidR="00064039" w:rsidRPr="005D5606">
        <w:rPr>
          <w:rFonts w:cstheme="minorHAnsi"/>
          <w:sz w:val="24"/>
          <w:szCs w:val="24"/>
          <w:lang w:val="en-GB"/>
        </w:rPr>
        <w:t xml:space="preserve"> </w:t>
      </w:r>
    </w:p>
    <w:p w14:paraId="58197C93" w14:textId="77777777" w:rsidR="009B1537" w:rsidRPr="005D5606" w:rsidRDefault="009B1537" w:rsidP="0011204D">
      <w:pPr>
        <w:spacing w:before="240"/>
        <w:jc w:val="both"/>
        <w:rPr>
          <w:rFonts w:cstheme="minorHAnsi"/>
          <w:sz w:val="24"/>
          <w:szCs w:val="24"/>
          <w:lang w:val="en-GB"/>
        </w:rPr>
      </w:pPr>
    </w:p>
    <w:p w14:paraId="7B342DAF" w14:textId="74898398" w:rsidR="00C6726C" w:rsidRPr="004E0E20" w:rsidRDefault="00C6726C" w:rsidP="009A297D">
      <w:pPr>
        <w:pStyle w:val="Heading2"/>
        <w:numPr>
          <w:ilvl w:val="1"/>
          <w:numId w:val="16"/>
        </w:numPr>
      </w:pPr>
      <w:bookmarkStart w:id="25" w:name="_Toc41427162"/>
      <w:r w:rsidRPr="004E0E20">
        <w:t>Methods for control of microbiological quality</w:t>
      </w:r>
      <w:bookmarkEnd w:id="25"/>
      <w:r w:rsidRPr="004E0E20">
        <w:t xml:space="preserve"> </w:t>
      </w:r>
    </w:p>
    <w:p w14:paraId="62E41D67" w14:textId="77777777" w:rsidR="00502234" w:rsidRDefault="00502234" w:rsidP="00C6726C">
      <w:pPr>
        <w:jc w:val="both"/>
        <w:rPr>
          <w:rFonts w:cstheme="minorHAnsi"/>
          <w:sz w:val="24"/>
          <w:szCs w:val="24"/>
          <w:lang w:val="en-GB"/>
        </w:rPr>
      </w:pPr>
    </w:p>
    <w:p w14:paraId="1EE86FDA" w14:textId="6A2C8004" w:rsidR="00C6726C" w:rsidRDefault="00A91174" w:rsidP="00C6726C">
      <w:pPr>
        <w:jc w:val="both"/>
        <w:rPr>
          <w:rFonts w:cstheme="minorHAnsi"/>
          <w:sz w:val="24"/>
          <w:szCs w:val="24"/>
          <w:lang w:val="en-GB"/>
        </w:rPr>
      </w:pPr>
      <w:r>
        <w:rPr>
          <w:rFonts w:cstheme="minorHAnsi"/>
          <w:sz w:val="24"/>
          <w:szCs w:val="24"/>
          <w:lang w:val="en-GB"/>
        </w:rPr>
        <w:t xml:space="preserve">The method </w:t>
      </w:r>
      <w:r w:rsidR="009B1537">
        <w:rPr>
          <w:rFonts w:cstheme="minorHAnsi"/>
          <w:sz w:val="24"/>
          <w:szCs w:val="24"/>
          <w:lang w:val="en-GB"/>
        </w:rPr>
        <w:t xml:space="preserve">for control of microbiological quality of BTC needs to be </w:t>
      </w:r>
      <w:r>
        <w:rPr>
          <w:rFonts w:cstheme="minorHAnsi"/>
          <w:sz w:val="24"/>
          <w:szCs w:val="24"/>
          <w:lang w:val="en-GB"/>
        </w:rPr>
        <w:t>chosen depend</w:t>
      </w:r>
      <w:r w:rsidR="009B1537">
        <w:rPr>
          <w:rFonts w:cstheme="minorHAnsi"/>
          <w:sz w:val="24"/>
          <w:szCs w:val="24"/>
          <w:lang w:val="en-GB"/>
        </w:rPr>
        <w:t>ing</w:t>
      </w:r>
      <w:r>
        <w:rPr>
          <w:rFonts w:cstheme="minorHAnsi"/>
          <w:sz w:val="24"/>
          <w:szCs w:val="24"/>
          <w:lang w:val="en-GB"/>
        </w:rPr>
        <w:t xml:space="preserve"> on whether the BTC is defined sterile or non-sterile. In case of sterile BTC, t</w:t>
      </w:r>
      <w:r w:rsidR="00C6726C">
        <w:rPr>
          <w:rFonts w:cstheme="minorHAnsi"/>
          <w:sz w:val="24"/>
          <w:szCs w:val="24"/>
          <w:lang w:val="en-GB"/>
        </w:rPr>
        <w:t xml:space="preserve">he conventional method </w:t>
      </w:r>
      <w:r w:rsidR="005A14B8">
        <w:rPr>
          <w:rFonts w:cstheme="minorHAnsi"/>
          <w:sz w:val="24"/>
          <w:szCs w:val="24"/>
          <w:lang w:val="en-GB"/>
        </w:rPr>
        <w:t>of</w:t>
      </w:r>
      <w:r w:rsidR="00C6726C">
        <w:rPr>
          <w:rFonts w:cstheme="minorHAnsi"/>
          <w:sz w:val="24"/>
          <w:szCs w:val="24"/>
          <w:lang w:val="en-GB"/>
        </w:rPr>
        <w:t xml:space="preserve"> s</w:t>
      </w:r>
      <w:r w:rsidR="00C6726C" w:rsidRPr="00A1251A">
        <w:rPr>
          <w:rFonts w:cstheme="minorHAnsi"/>
          <w:sz w:val="24"/>
          <w:szCs w:val="24"/>
          <w:lang w:val="en-GB"/>
        </w:rPr>
        <w:t xml:space="preserve">terility assay </w:t>
      </w:r>
      <w:r w:rsidR="00C6726C">
        <w:rPr>
          <w:rFonts w:cstheme="minorHAnsi"/>
          <w:sz w:val="24"/>
          <w:szCs w:val="24"/>
          <w:lang w:val="en-GB"/>
        </w:rPr>
        <w:t xml:space="preserve">is described in </w:t>
      </w:r>
      <w:r w:rsidR="00C6726C" w:rsidRPr="00EF1172">
        <w:rPr>
          <w:rFonts w:cstheme="minorHAnsi"/>
          <w:i/>
          <w:sz w:val="24"/>
          <w:szCs w:val="24"/>
          <w:lang w:val="en-GB"/>
        </w:rPr>
        <w:t>Ph. Eur.</w:t>
      </w:r>
      <w:r w:rsidR="00C6726C">
        <w:rPr>
          <w:rFonts w:cstheme="minorHAnsi"/>
          <w:sz w:val="24"/>
          <w:szCs w:val="24"/>
          <w:lang w:val="en-GB"/>
        </w:rPr>
        <w:t xml:space="preserve"> 2.6.1.</w:t>
      </w:r>
      <w:r w:rsidR="007714FB">
        <w:rPr>
          <w:rFonts w:cstheme="minorHAnsi"/>
          <w:sz w:val="24"/>
          <w:szCs w:val="24"/>
          <w:lang w:val="en-GB"/>
        </w:rPr>
        <w:t xml:space="preserve"> </w:t>
      </w:r>
      <w:r w:rsidR="00BD3D74" w:rsidRPr="00BD3D74">
        <w:rPr>
          <w:rFonts w:cstheme="minorHAnsi"/>
          <w:sz w:val="24"/>
          <w:szCs w:val="24"/>
          <w:lang w:val="en-GB"/>
        </w:rPr>
        <w:t xml:space="preserve">If </w:t>
      </w:r>
      <w:r w:rsidR="00BD3D74">
        <w:rPr>
          <w:rFonts w:cstheme="minorHAnsi"/>
          <w:sz w:val="24"/>
          <w:szCs w:val="24"/>
          <w:lang w:val="en-GB"/>
        </w:rPr>
        <w:t>the final BTC product</w:t>
      </w:r>
      <w:r w:rsidR="00BD3D74" w:rsidRPr="00BD3D74">
        <w:rPr>
          <w:rFonts w:cstheme="minorHAnsi"/>
          <w:sz w:val="24"/>
          <w:szCs w:val="24"/>
          <w:lang w:val="en-GB"/>
        </w:rPr>
        <w:t xml:space="preserve"> is not required to be sterile or cannot be </w:t>
      </w:r>
      <w:r w:rsidR="00BD3D74">
        <w:rPr>
          <w:rFonts w:cstheme="minorHAnsi"/>
          <w:sz w:val="24"/>
          <w:szCs w:val="24"/>
          <w:lang w:val="en-GB"/>
        </w:rPr>
        <w:t>made</w:t>
      </w:r>
      <w:r w:rsidR="00BD3D74" w:rsidRPr="00BD3D74">
        <w:rPr>
          <w:rFonts w:cstheme="minorHAnsi"/>
          <w:sz w:val="24"/>
          <w:szCs w:val="24"/>
          <w:lang w:val="en-GB"/>
        </w:rPr>
        <w:t xml:space="preserve"> sterile</w:t>
      </w:r>
      <w:r w:rsidR="00BD3D74">
        <w:rPr>
          <w:rFonts w:cstheme="minorHAnsi"/>
          <w:sz w:val="24"/>
          <w:szCs w:val="24"/>
          <w:lang w:val="en-GB"/>
        </w:rPr>
        <w:t>,</w:t>
      </w:r>
      <w:r w:rsidR="00BD3D74" w:rsidRPr="00BD3D74">
        <w:rPr>
          <w:rFonts w:cstheme="minorHAnsi"/>
          <w:sz w:val="24"/>
          <w:szCs w:val="24"/>
          <w:lang w:val="en-GB"/>
        </w:rPr>
        <w:t xml:space="preserve"> </w:t>
      </w:r>
      <w:r w:rsidR="007714FB">
        <w:rPr>
          <w:rFonts w:cstheme="minorHAnsi"/>
          <w:sz w:val="24"/>
          <w:szCs w:val="24"/>
          <w:lang w:val="en-GB"/>
        </w:rPr>
        <w:t xml:space="preserve">the method is described in </w:t>
      </w:r>
      <w:r w:rsidR="007714FB" w:rsidRPr="00EF1172">
        <w:rPr>
          <w:rFonts w:cstheme="minorHAnsi"/>
          <w:i/>
          <w:sz w:val="24"/>
          <w:szCs w:val="24"/>
          <w:lang w:val="en-GB"/>
        </w:rPr>
        <w:t>Ph. Eur.</w:t>
      </w:r>
      <w:r w:rsidR="00BD3D74">
        <w:rPr>
          <w:rFonts w:cstheme="minorHAnsi"/>
          <w:sz w:val="24"/>
          <w:szCs w:val="24"/>
          <w:lang w:val="en-GB"/>
        </w:rPr>
        <w:t xml:space="preserve"> 2.6.12</w:t>
      </w:r>
      <w:r w:rsidR="007714FB">
        <w:rPr>
          <w:rFonts w:cstheme="minorHAnsi"/>
          <w:sz w:val="24"/>
          <w:szCs w:val="24"/>
          <w:lang w:val="en-GB"/>
        </w:rPr>
        <w:t xml:space="preserve"> (bioburden).</w:t>
      </w:r>
      <w:r w:rsidR="002D61CF">
        <w:rPr>
          <w:rFonts w:cstheme="minorHAnsi"/>
          <w:sz w:val="24"/>
          <w:szCs w:val="24"/>
          <w:lang w:val="en-GB"/>
        </w:rPr>
        <w:t xml:space="preserve"> The method 2.6.12 should be used </w:t>
      </w:r>
      <w:r w:rsidR="009B1537">
        <w:rPr>
          <w:rFonts w:cstheme="minorHAnsi"/>
          <w:sz w:val="24"/>
          <w:szCs w:val="24"/>
          <w:lang w:val="en-GB"/>
        </w:rPr>
        <w:t>together</w:t>
      </w:r>
      <w:r w:rsidR="002D61CF">
        <w:rPr>
          <w:rFonts w:cstheme="minorHAnsi"/>
          <w:sz w:val="24"/>
          <w:szCs w:val="24"/>
          <w:lang w:val="en-GB"/>
        </w:rPr>
        <w:t xml:space="preserve"> with 2.6.13 if BTC </w:t>
      </w:r>
      <w:r w:rsidR="00E04987">
        <w:rPr>
          <w:rFonts w:cstheme="minorHAnsi"/>
          <w:sz w:val="24"/>
          <w:szCs w:val="24"/>
          <w:lang w:val="en-GB"/>
        </w:rPr>
        <w:t xml:space="preserve">risk </w:t>
      </w:r>
      <w:r w:rsidR="005A14B8">
        <w:rPr>
          <w:rFonts w:cstheme="minorHAnsi"/>
          <w:sz w:val="24"/>
          <w:szCs w:val="24"/>
          <w:lang w:val="en-GB"/>
        </w:rPr>
        <w:t>assessment</w:t>
      </w:r>
      <w:r w:rsidR="002D61CF">
        <w:rPr>
          <w:rFonts w:cstheme="minorHAnsi"/>
          <w:sz w:val="24"/>
          <w:szCs w:val="24"/>
          <w:lang w:val="en-GB"/>
        </w:rPr>
        <w:t xml:space="preserve"> defines</w:t>
      </w:r>
      <w:r w:rsidR="00E04987">
        <w:rPr>
          <w:rFonts w:cstheme="minorHAnsi"/>
          <w:sz w:val="24"/>
          <w:szCs w:val="24"/>
          <w:lang w:val="en-GB"/>
        </w:rPr>
        <w:t xml:space="preserve"> the absence of predetermined specified micro-organisms</w:t>
      </w:r>
      <w:r w:rsidR="00E04987" w:rsidRPr="007B029B">
        <w:rPr>
          <w:rFonts w:cstheme="minorHAnsi"/>
          <w:sz w:val="24"/>
          <w:szCs w:val="24"/>
          <w:lang w:val="en-GB"/>
        </w:rPr>
        <w:t xml:space="preserve">. </w:t>
      </w:r>
      <w:r w:rsidR="007B029B" w:rsidRPr="007B029B">
        <w:rPr>
          <w:rFonts w:cstheme="minorHAnsi"/>
          <w:sz w:val="24"/>
          <w:szCs w:val="24"/>
          <w:lang w:val="en-GB"/>
        </w:rPr>
        <w:t>The test samples for sterility testing must be representative of all of the components, but if this is not possible surr</w:t>
      </w:r>
      <w:r w:rsidR="00BD3D74">
        <w:rPr>
          <w:rFonts w:cstheme="minorHAnsi"/>
          <w:sz w:val="24"/>
          <w:szCs w:val="24"/>
          <w:lang w:val="en-GB"/>
        </w:rPr>
        <w:t>ogate testing may be performed</w:t>
      </w:r>
      <w:r w:rsidR="007B029B" w:rsidRPr="007B029B">
        <w:rPr>
          <w:rFonts w:cstheme="minorHAnsi"/>
          <w:sz w:val="24"/>
          <w:szCs w:val="24"/>
          <w:lang w:val="en-GB"/>
        </w:rPr>
        <w:t xml:space="preserve"> </w:t>
      </w:r>
      <w:r w:rsidR="002D61CF" w:rsidRPr="007B029B">
        <w:rPr>
          <w:rFonts w:cstheme="minorHAnsi"/>
          <w:sz w:val="24"/>
          <w:szCs w:val="24"/>
          <w:lang w:val="en-GB"/>
        </w:rPr>
        <w:t>(</w:t>
      </w:r>
      <w:r w:rsidR="00E81151">
        <w:rPr>
          <w:rFonts w:cstheme="minorHAnsi"/>
          <w:sz w:val="24"/>
          <w:szCs w:val="24"/>
          <w:lang w:val="en-GB"/>
        </w:rPr>
        <w:t xml:space="preserve">EDQM </w:t>
      </w:r>
      <w:r w:rsidR="002D61CF" w:rsidRPr="007B029B">
        <w:rPr>
          <w:rFonts w:cstheme="minorHAnsi"/>
          <w:sz w:val="24"/>
          <w:szCs w:val="24"/>
          <w:lang w:val="en-GB"/>
        </w:rPr>
        <w:t>T</w:t>
      </w:r>
      <w:r w:rsidR="002D61CF">
        <w:rPr>
          <w:rFonts w:cstheme="minorHAnsi"/>
          <w:sz w:val="24"/>
          <w:szCs w:val="24"/>
          <w:lang w:val="en-GB"/>
        </w:rPr>
        <w:t xml:space="preserve">&amp;C </w:t>
      </w:r>
      <w:r w:rsidR="00E81151">
        <w:rPr>
          <w:rFonts w:cstheme="minorHAnsi"/>
          <w:sz w:val="24"/>
          <w:szCs w:val="24"/>
          <w:lang w:val="en-GB"/>
        </w:rPr>
        <w:t>G</w:t>
      </w:r>
      <w:r w:rsidR="002D61CF">
        <w:rPr>
          <w:rFonts w:cstheme="minorHAnsi"/>
          <w:sz w:val="24"/>
          <w:szCs w:val="24"/>
          <w:lang w:val="en-GB"/>
        </w:rPr>
        <w:t>uide 10.</w:t>
      </w:r>
      <w:r w:rsidR="007B029B">
        <w:rPr>
          <w:rFonts w:cstheme="minorHAnsi"/>
          <w:sz w:val="24"/>
          <w:szCs w:val="24"/>
          <w:lang w:val="en-GB"/>
        </w:rPr>
        <w:t>4</w:t>
      </w:r>
      <w:r w:rsidR="002D61CF">
        <w:rPr>
          <w:rFonts w:cstheme="minorHAnsi"/>
          <w:sz w:val="24"/>
          <w:szCs w:val="24"/>
          <w:lang w:val="en-GB"/>
        </w:rPr>
        <w:t>)</w:t>
      </w:r>
      <w:r w:rsidR="00BD3D74">
        <w:rPr>
          <w:rFonts w:cstheme="minorHAnsi"/>
          <w:sz w:val="24"/>
          <w:szCs w:val="24"/>
          <w:lang w:val="en-GB"/>
        </w:rPr>
        <w:t xml:space="preserve">. </w:t>
      </w:r>
      <w:r w:rsidR="005A14B8">
        <w:rPr>
          <w:rFonts w:cstheme="minorHAnsi"/>
          <w:sz w:val="24"/>
          <w:szCs w:val="24"/>
          <w:lang w:val="en-GB"/>
        </w:rPr>
        <w:t>This</w:t>
      </w:r>
      <w:r w:rsidR="00BD3D74" w:rsidRPr="00BD3D74">
        <w:rPr>
          <w:rFonts w:cstheme="minorHAnsi"/>
          <w:sz w:val="24"/>
          <w:szCs w:val="24"/>
          <w:lang w:val="en-GB"/>
        </w:rPr>
        <w:t xml:space="preserve"> testing may require use of validated methods</w:t>
      </w:r>
      <w:r w:rsidR="00BD3D74">
        <w:rPr>
          <w:rFonts w:cstheme="minorHAnsi"/>
          <w:sz w:val="24"/>
          <w:szCs w:val="24"/>
          <w:lang w:val="en-GB"/>
        </w:rPr>
        <w:t xml:space="preserve"> </w:t>
      </w:r>
      <w:r w:rsidR="00BD3D74" w:rsidRPr="00BD3D74">
        <w:rPr>
          <w:rFonts w:cstheme="minorHAnsi"/>
          <w:sz w:val="24"/>
          <w:szCs w:val="24"/>
          <w:lang w:val="en-GB"/>
        </w:rPr>
        <w:t>employing special media and/or conditions to enable</w:t>
      </w:r>
      <w:r w:rsidR="00BD3D74">
        <w:rPr>
          <w:rFonts w:cstheme="minorHAnsi"/>
          <w:sz w:val="24"/>
          <w:szCs w:val="24"/>
          <w:lang w:val="en-GB"/>
        </w:rPr>
        <w:t xml:space="preserve"> growth of such micro-</w:t>
      </w:r>
      <w:r w:rsidR="00BD3D74" w:rsidRPr="00BD3D74">
        <w:rPr>
          <w:rFonts w:cstheme="minorHAnsi"/>
          <w:sz w:val="24"/>
          <w:szCs w:val="24"/>
          <w:lang w:val="en-GB"/>
        </w:rPr>
        <w:t>organisms and their detection.</w:t>
      </w:r>
      <w:r w:rsidR="00BD3D74">
        <w:rPr>
          <w:rFonts w:cstheme="minorHAnsi"/>
          <w:sz w:val="24"/>
          <w:szCs w:val="24"/>
          <w:lang w:val="en-GB"/>
        </w:rPr>
        <w:t xml:space="preserve"> </w:t>
      </w:r>
    </w:p>
    <w:p w14:paraId="5617CB85" w14:textId="4C0B0321" w:rsidR="00C6726C" w:rsidRPr="008206A0" w:rsidRDefault="00C6726C" w:rsidP="00C6726C">
      <w:pPr>
        <w:jc w:val="both"/>
        <w:rPr>
          <w:rFonts w:cstheme="minorHAnsi"/>
          <w:sz w:val="24"/>
          <w:szCs w:val="24"/>
          <w:lang w:val="en-GB"/>
        </w:rPr>
      </w:pPr>
      <w:r>
        <w:rPr>
          <w:rFonts w:cstheme="minorHAnsi"/>
          <w:sz w:val="24"/>
          <w:szCs w:val="24"/>
          <w:lang w:val="en-GB"/>
        </w:rPr>
        <w:t>S</w:t>
      </w:r>
      <w:r w:rsidRPr="008206A0">
        <w:rPr>
          <w:rFonts w:cstheme="minorHAnsi"/>
          <w:sz w:val="24"/>
          <w:szCs w:val="24"/>
          <w:lang w:val="en-GB"/>
        </w:rPr>
        <w:t xml:space="preserve">everal </w:t>
      </w:r>
      <w:r>
        <w:rPr>
          <w:rFonts w:cstheme="minorHAnsi"/>
          <w:sz w:val="24"/>
          <w:szCs w:val="24"/>
          <w:lang w:val="en-GB"/>
        </w:rPr>
        <w:t>BTC</w:t>
      </w:r>
      <w:r w:rsidRPr="008206A0">
        <w:rPr>
          <w:rFonts w:cstheme="minorHAnsi"/>
          <w:sz w:val="24"/>
          <w:szCs w:val="24"/>
          <w:lang w:val="en-GB"/>
        </w:rPr>
        <w:t xml:space="preserve"> derived preparations are short lived and of small quantity. Conventional compendial methods, e.g. growth based microbiological methods</w:t>
      </w:r>
      <w:r w:rsidR="00C61E65">
        <w:rPr>
          <w:rFonts w:cstheme="minorHAnsi"/>
          <w:sz w:val="24"/>
          <w:szCs w:val="24"/>
          <w:lang w:val="en-GB"/>
        </w:rPr>
        <w:t xml:space="preserve"> (</w:t>
      </w:r>
      <w:r w:rsidR="00C61E65" w:rsidRPr="00EF1172">
        <w:rPr>
          <w:rFonts w:cstheme="minorHAnsi"/>
          <w:i/>
          <w:sz w:val="24"/>
          <w:szCs w:val="24"/>
          <w:lang w:val="en-GB"/>
        </w:rPr>
        <w:t>Ph. Eur.</w:t>
      </w:r>
      <w:r w:rsidR="00C61E65">
        <w:rPr>
          <w:rFonts w:cstheme="minorHAnsi"/>
          <w:sz w:val="24"/>
          <w:szCs w:val="24"/>
          <w:lang w:val="en-GB"/>
        </w:rPr>
        <w:t xml:space="preserve"> 2.6.1)</w:t>
      </w:r>
      <w:r w:rsidRPr="008206A0">
        <w:rPr>
          <w:rFonts w:cstheme="minorHAnsi"/>
          <w:sz w:val="24"/>
          <w:szCs w:val="24"/>
          <w:lang w:val="en-GB"/>
        </w:rPr>
        <w:t xml:space="preserve">, are increasingly outperformed by so called </w:t>
      </w:r>
      <w:r>
        <w:rPr>
          <w:rFonts w:cstheme="minorHAnsi"/>
          <w:sz w:val="24"/>
          <w:szCs w:val="24"/>
          <w:lang w:val="en-GB"/>
        </w:rPr>
        <w:t xml:space="preserve">alternative </w:t>
      </w:r>
      <w:r w:rsidR="00AD7C2A">
        <w:rPr>
          <w:rFonts w:cstheme="minorHAnsi"/>
          <w:sz w:val="24"/>
          <w:szCs w:val="24"/>
          <w:lang w:val="en-GB"/>
        </w:rPr>
        <w:t xml:space="preserve">rapid </w:t>
      </w:r>
      <w:r>
        <w:rPr>
          <w:rFonts w:cstheme="minorHAnsi"/>
          <w:sz w:val="24"/>
          <w:szCs w:val="24"/>
          <w:lang w:val="en-GB"/>
        </w:rPr>
        <w:t>microbiological methods (</w:t>
      </w:r>
      <w:r w:rsidR="00AD7C2A">
        <w:rPr>
          <w:rFonts w:cstheme="minorHAnsi"/>
          <w:sz w:val="24"/>
          <w:szCs w:val="24"/>
          <w:lang w:val="en-GB"/>
        </w:rPr>
        <w:t>R</w:t>
      </w:r>
      <w:r w:rsidR="00AD7C2A" w:rsidRPr="008206A0">
        <w:rPr>
          <w:rFonts w:cstheme="minorHAnsi"/>
          <w:sz w:val="24"/>
          <w:szCs w:val="24"/>
          <w:lang w:val="en-GB"/>
        </w:rPr>
        <w:t>MM</w:t>
      </w:r>
      <w:r>
        <w:rPr>
          <w:rFonts w:cstheme="minorHAnsi"/>
          <w:sz w:val="24"/>
          <w:szCs w:val="24"/>
          <w:lang w:val="en-GB"/>
        </w:rPr>
        <w:t>)</w:t>
      </w:r>
      <w:r w:rsidRPr="008206A0">
        <w:rPr>
          <w:rFonts w:cstheme="minorHAnsi"/>
          <w:sz w:val="24"/>
          <w:szCs w:val="24"/>
          <w:lang w:val="en-GB"/>
        </w:rPr>
        <w:t xml:space="preserve"> in terms of sensitivity, speed and width of information. By the use of </w:t>
      </w:r>
      <w:r w:rsidR="00F13622">
        <w:rPr>
          <w:rFonts w:cstheme="minorHAnsi"/>
          <w:sz w:val="24"/>
          <w:szCs w:val="24"/>
          <w:lang w:val="en-GB"/>
        </w:rPr>
        <w:t>R</w:t>
      </w:r>
      <w:r w:rsidR="00F13622" w:rsidRPr="008206A0">
        <w:rPr>
          <w:rFonts w:cstheme="minorHAnsi"/>
          <w:sz w:val="24"/>
          <w:szCs w:val="24"/>
          <w:lang w:val="en-GB"/>
        </w:rPr>
        <w:t>MM</w:t>
      </w:r>
      <w:r w:rsidR="00DF3CAF">
        <w:rPr>
          <w:rFonts w:cstheme="minorHAnsi"/>
          <w:sz w:val="24"/>
          <w:szCs w:val="24"/>
          <w:lang w:val="en-GB"/>
        </w:rPr>
        <w:t>,</w:t>
      </w:r>
      <w:r w:rsidR="00F13622" w:rsidRPr="008206A0">
        <w:rPr>
          <w:rFonts w:cstheme="minorHAnsi"/>
          <w:sz w:val="24"/>
          <w:szCs w:val="24"/>
          <w:lang w:val="en-GB"/>
        </w:rPr>
        <w:t xml:space="preserve"> </w:t>
      </w:r>
      <w:r w:rsidRPr="008206A0">
        <w:rPr>
          <w:rFonts w:cstheme="minorHAnsi"/>
          <w:sz w:val="24"/>
          <w:szCs w:val="24"/>
          <w:lang w:val="en-GB"/>
        </w:rPr>
        <w:t xml:space="preserve">final test results are </w:t>
      </w:r>
      <w:r w:rsidR="00DF3CAF" w:rsidRPr="008206A0">
        <w:rPr>
          <w:rFonts w:cstheme="minorHAnsi"/>
          <w:sz w:val="24"/>
          <w:szCs w:val="24"/>
          <w:lang w:val="en-GB"/>
        </w:rPr>
        <w:t xml:space="preserve">available </w:t>
      </w:r>
      <w:r w:rsidRPr="008206A0">
        <w:rPr>
          <w:rFonts w:cstheme="minorHAnsi"/>
          <w:sz w:val="24"/>
          <w:szCs w:val="24"/>
          <w:lang w:val="en-GB"/>
        </w:rPr>
        <w:t xml:space="preserve">much faster allowing a timely and often more substantiated </w:t>
      </w:r>
      <w:r w:rsidR="00EF1172">
        <w:rPr>
          <w:rFonts w:cstheme="minorHAnsi"/>
          <w:sz w:val="24"/>
          <w:szCs w:val="24"/>
          <w:lang w:val="en-GB"/>
        </w:rPr>
        <w:t xml:space="preserve">final BTC </w:t>
      </w:r>
      <w:r w:rsidRPr="008206A0">
        <w:rPr>
          <w:rFonts w:cstheme="minorHAnsi"/>
          <w:sz w:val="24"/>
          <w:szCs w:val="24"/>
          <w:lang w:val="en-GB"/>
        </w:rPr>
        <w:t>product release.</w:t>
      </w:r>
      <w:r w:rsidR="00C64947">
        <w:rPr>
          <w:rFonts w:cstheme="minorHAnsi"/>
          <w:sz w:val="24"/>
          <w:szCs w:val="24"/>
          <w:lang w:val="en-GB"/>
        </w:rPr>
        <w:t xml:space="preserve"> (</w:t>
      </w:r>
      <w:r w:rsidR="009B1537">
        <w:rPr>
          <w:rFonts w:cstheme="minorHAnsi"/>
          <w:sz w:val="24"/>
          <w:szCs w:val="24"/>
          <w:lang w:val="en-GB"/>
        </w:rPr>
        <w:t xml:space="preserve">EDQM </w:t>
      </w:r>
      <w:r w:rsidR="00C64947">
        <w:rPr>
          <w:rFonts w:cstheme="minorHAnsi"/>
          <w:sz w:val="24"/>
          <w:szCs w:val="24"/>
          <w:lang w:val="en-GB"/>
        </w:rPr>
        <w:t xml:space="preserve">T&amp;C </w:t>
      </w:r>
      <w:r w:rsidR="009B1537">
        <w:rPr>
          <w:rFonts w:cstheme="minorHAnsi"/>
          <w:sz w:val="24"/>
          <w:szCs w:val="24"/>
          <w:lang w:val="en-GB"/>
        </w:rPr>
        <w:t>G</w:t>
      </w:r>
      <w:r w:rsidR="00C64947">
        <w:rPr>
          <w:rFonts w:cstheme="minorHAnsi"/>
          <w:sz w:val="24"/>
          <w:szCs w:val="24"/>
          <w:lang w:val="en-GB"/>
        </w:rPr>
        <w:t>uide 10.4)</w:t>
      </w:r>
    </w:p>
    <w:p w14:paraId="69E79889" w14:textId="3D7097FC" w:rsidR="00C6726C" w:rsidRDefault="00C6726C" w:rsidP="00C6726C">
      <w:pPr>
        <w:jc w:val="both"/>
        <w:rPr>
          <w:rFonts w:cstheme="minorHAnsi"/>
          <w:sz w:val="24"/>
          <w:szCs w:val="24"/>
          <w:lang w:val="en-GB"/>
        </w:rPr>
      </w:pPr>
      <w:r w:rsidRPr="008206A0">
        <w:rPr>
          <w:rFonts w:cstheme="minorHAnsi"/>
          <w:sz w:val="24"/>
          <w:szCs w:val="24"/>
          <w:lang w:val="en-GB"/>
        </w:rPr>
        <w:t xml:space="preserve">The use of </w:t>
      </w:r>
      <w:r w:rsidR="001A3901">
        <w:rPr>
          <w:rFonts w:cstheme="minorHAnsi"/>
          <w:sz w:val="24"/>
          <w:szCs w:val="24"/>
          <w:lang w:val="en-GB"/>
        </w:rPr>
        <w:t>R</w:t>
      </w:r>
      <w:r w:rsidR="001A3901" w:rsidRPr="008206A0">
        <w:rPr>
          <w:rFonts w:cstheme="minorHAnsi"/>
          <w:sz w:val="24"/>
          <w:szCs w:val="24"/>
          <w:lang w:val="en-GB"/>
        </w:rPr>
        <w:t xml:space="preserve">MM </w:t>
      </w:r>
      <w:r w:rsidRPr="008206A0">
        <w:rPr>
          <w:rFonts w:cstheme="minorHAnsi"/>
          <w:sz w:val="24"/>
          <w:szCs w:val="24"/>
          <w:lang w:val="en-GB"/>
        </w:rPr>
        <w:t xml:space="preserve">for testing of </w:t>
      </w:r>
      <w:r>
        <w:rPr>
          <w:rFonts w:cstheme="minorHAnsi"/>
          <w:sz w:val="24"/>
          <w:szCs w:val="24"/>
          <w:lang w:val="en-GB"/>
        </w:rPr>
        <w:t>BTC</w:t>
      </w:r>
      <w:r w:rsidRPr="008206A0">
        <w:rPr>
          <w:rFonts w:cstheme="minorHAnsi"/>
          <w:sz w:val="24"/>
          <w:szCs w:val="24"/>
          <w:lang w:val="en-GB"/>
        </w:rPr>
        <w:t xml:space="preserve"> preparations is still limited. One reason is the considerable effort for the control laboratory to validate new methods with respect to method performance in comparison to the compendial reference method. </w:t>
      </w:r>
      <w:r w:rsidRPr="00864EDB">
        <w:rPr>
          <w:rFonts w:cstheme="minorHAnsi"/>
          <w:i/>
          <w:sz w:val="24"/>
          <w:szCs w:val="24"/>
          <w:lang w:val="en-GB"/>
        </w:rPr>
        <w:t>Ph. Eur</w:t>
      </w:r>
      <w:r w:rsidRPr="008206A0">
        <w:rPr>
          <w:rFonts w:cstheme="minorHAnsi"/>
          <w:sz w:val="24"/>
          <w:szCs w:val="24"/>
          <w:lang w:val="en-GB"/>
        </w:rPr>
        <w:t>. chapter</w:t>
      </w:r>
      <w:r w:rsidR="00BE0E7E">
        <w:rPr>
          <w:rFonts w:cstheme="minorHAnsi"/>
          <w:sz w:val="24"/>
          <w:szCs w:val="24"/>
          <w:lang w:val="en-GB"/>
        </w:rPr>
        <w:t>s</w:t>
      </w:r>
      <w:r w:rsidRPr="008206A0">
        <w:rPr>
          <w:rFonts w:cstheme="minorHAnsi"/>
          <w:sz w:val="24"/>
          <w:szCs w:val="24"/>
          <w:lang w:val="en-GB"/>
        </w:rPr>
        <w:t xml:space="preserve"> 5.1.6 “Alternative Methods for Control of Microbiological Quality”</w:t>
      </w:r>
      <w:r w:rsidR="00BE0E7E">
        <w:rPr>
          <w:rFonts w:cstheme="minorHAnsi"/>
          <w:sz w:val="24"/>
          <w:szCs w:val="24"/>
          <w:lang w:val="en-GB"/>
        </w:rPr>
        <w:t xml:space="preserve"> and 2.6.27 “Microbiological examination of cell-based preparation”</w:t>
      </w:r>
      <w:r w:rsidRPr="008206A0">
        <w:rPr>
          <w:rFonts w:cstheme="minorHAnsi"/>
          <w:sz w:val="24"/>
          <w:szCs w:val="24"/>
          <w:lang w:val="en-GB"/>
        </w:rPr>
        <w:t xml:space="preserve"> provide the current </w:t>
      </w:r>
      <w:r>
        <w:rPr>
          <w:rFonts w:cstheme="minorHAnsi"/>
          <w:sz w:val="24"/>
          <w:szCs w:val="24"/>
          <w:lang w:val="en-GB"/>
        </w:rPr>
        <w:t xml:space="preserve">EU framework for </w:t>
      </w:r>
      <w:r w:rsidR="001A3901">
        <w:rPr>
          <w:rFonts w:cstheme="minorHAnsi"/>
          <w:sz w:val="24"/>
          <w:szCs w:val="24"/>
          <w:lang w:val="en-GB"/>
        </w:rPr>
        <w:t xml:space="preserve">RMM </w:t>
      </w:r>
      <w:r>
        <w:rPr>
          <w:rFonts w:cstheme="minorHAnsi"/>
          <w:sz w:val="24"/>
          <w:szCs w:val="24"/>
          <w:lang w:val="en-GB"/>
        </w:rPr>
        <w:t>validation</w:t>
      </w:r>
      <w:r w:rsidRPr="008206A0">
        <w:rPr>
          <w:rFonts w:cstheme="minorHAnsi"/>
          <w:sz w:val="24"/>
          <w:szCs w:val="24"/>
          <w:lang w:val="en-GB"/>
        </w:rPr>
        <w:t xml:space="preserve">. EDQM provides an </w:t>
      </w:r>
      <w:commentRangeStart w:id="26"/>
      <w:r w:rsidRPr="008206A0">
        <w:rPr>
          <w:rFonts w:cstheme="minorHAnsi"/>
          <w:sz w:val="24"/>
          <w:szCs w:val="24"/>
          <w:lang w:val="en-GB"/>
        </w:rPr>
        <w:t>online</w:t>
      </w:r>
      <w:commentRangeEnd w:id="26"/>
      <w:r w:rsidR="00BE0E7E">
        <w:rPr>
          <w:rStyle w:val="CommentReference"/>
        </w:rPr>
        <w:commentReference w:id="26"/>
      </w:r>
      <w:r w:rsidRPr="008206A0">
        <w:rPr>
          <w:rFonts w:cstheme="minorHAnsi"/>
          <w:sz w:val="24"/>
          <w:szCs w:val="24"/>
          <w:lang w:val="en-GB"/>
        </w:rPr>
        <w:t xml:space="preserve"> resource in which information on exemplary </w:t>
      </w:r>
      <w:r w:rsidR="001A3901">
        <w:rPr>
          <w:rFonts w:cstheme="minorHAnsi"/>
          <w:sz w:val="24"/>
          <w:szCs w:val="24"/>
          <w:lang w:val="en-GB"/>
        </w:rPr>
        <w:t>R</w:t>
      </w:r>
      <w:r w:rsidR="001A3901" w:rsidRPr="008206A0">
        <w:rPr>
          <w:rFonts w:cstheme="minorHAnsi"/>
          <w:sz w:val="24"/>
          <w:szCs w:val="24"/>
          <w:lang w:val="en-GB"/>
        </w:rPr>
        <w:t xml:space="preserve">MM </w:t>
      </w:r>
      <w:r w:rsidRPr="008206A0">
        <w:rPr>
          <w:rFonts w:cstheme="minorHAnsi"/>
          <w:sz w:val="24"/>
          <w:szCs w:val="24"/>
          <w:lang w:val="en-GB"/>
        </w:rPr>
        <w:t>validation procedures for a particular application are made available to control laboratories. This resource is currently regarded as a starting point for users without being peer-reviewed and exhaustive.</w:t>
      </w:r>
    </w:p>
    <w:p w14:paraId="23837876" w14:textId="289C3229" w:rsidR="001A7911" w:rsidRDefault="001A7911" w:rsidP="001A7911">
      <w:pPr>
        <w:jc w:val="both"/>
        <w:rPr>
          <w:rFonts w:cstheme="minorHAnsi"/>
          <w:sz w:val="24"/>
          <w:szCs w:val="24"/>
          <w:lang w:val="en-GB"/>
        </w:rPr>
      </w:pPr>
      <w:r w:rsidRPr="001A7911">
        <w:rPr>
          <w:rFonts w:cstheme="minorHAnsi"/>
          <w:sz w:val="24"/>
          <w:szCs w:val="24"/>
          <w:lang w:val="en-GB"/>
        </w:rPr>
        <w:t>Tests for</w:t>
      </w:r>
      <w:r>
        <w:rPr>
          <w:rFonts w:cstheme="minorHAnsi"/>
          <w:sz w:val="24"/>
          <w:szCs w:val="24"/>
          <w:lang w:val="en-GB"/>
        </w:rPr>
        <w:t xml:space="preserve"> </w:t>
      </w:r>
      <w:r w:rsidRPr="001A7911">
        <w:rPr>
          <w:rFonts w:cstheme="minorHAnsi"/>
          <w:sz w:val="24"/>
          <w:szCs w:val="24"/>
          <w:lang w:val="en-GB"/>
        </w:rPr>
        <w:t>absence of mycoplasma (</w:t>
      </w:r>
      <w:r w:rsidRPr="001A7911">
        <w:rPr>
          <w:rFonts w:cstheme="minorHAnsi"/>
          <w:i/>
          <w:sz w:val="24"/>
          <w:szCs w:val="24"/>
          <w:lang w:val="en-GB"/>
        </w:rPr>
        <w:t>Ph. Eur</w:t>
      </w:r>
      <w:r w:rsidRPr="001A7911">
        <w:rPr>
          <w:rFonts w:cstheme="minorHAnsi"/>
          <w:sz w:val="24"/>
          <w:szCs w:val="24"/>
          <w:lang w:val="en-GB"/>
        </w:rPr>
        <w:t>. 2.6.7) and bacterial</w:t>
      </w:r>
      <w:r>
        <w:rPr>
          <w:rFonts w:cstheme="minorHAnsi"/>
          <w:sz w:val="24"/>
          <w:szCs w:val="24"/>
          <w:lang w:val="en-GB"/>
        </w:rPr>
        <w:t xml:space="preserve"> </w:t>
      </w:r>
      <w:r w:rsidRPr="001A7911">
        <w:rPr>
          <w:rFonts w:cstheme="minorHAnsi"/>
          <w:sz w:val="24"/>
          <w:szCs w:val="24"/>
          <w:lang w:val="en-GB"/>
        </w:rPr>
        <w:t>endotoxins (</w:t>
      </w:r>
      <w:r w:rsidRPr="001A7911">
        <w:rPr>
          <w:rFonts w:cstheme="minorHAnsi"/>
          <w:i/>
          <w:sz w:val="24"/>
          <w:szCs w:val="24"/>
          <w:lang w:val="en-GB"/>
        </w:rPr>
        <w:t>Ph. Eur</w:t>
      </w:r>
      <w:r w:rsidRPr="001A7911">
        <w:rPr>
          <w:rFonts w:cstheme="minorHAnsi"/>
          <w:sz w:val="24"/>
          <w:szCs w:val="24"/>
          <w:lang w:val="en-GB"/>
        </w:rPr>
        <w:t xml:space="preserve">. 2.6.14 and </w:t>
      </w:r>
      <w:r w:rsidRPr="001A7911">
        <w:rPr>
          <w:rFonts w:cstheme="minorHAnsi"/>
          <w:i/>
          <w:sz w:val="24"/>
          <w:szCs w:val="24"/>
          <w:lang w:val="en-GB"/>
        </w:rPr>
        <w:t>Ph. Eur</w:t>
      </w:r>
      <w:r w:rsidRPr="001A7911">
        <w:rPr>
          <w:rFonts w:cstheme="minorHAnsi"/>
          <w:sz w:val="24"/>
          <w:szCs w:val="24"/>
          <w:lang w:val="en-GB"/>
        </w:rPr>
        <w:t>. 5.1.10) should</w:t>
      </w:r>
      <w:r>
        <w:rPr>
          <w:rFonts w:cstheme="minorHAnsi"/>
          <w:sz w:val="24"/>
          <w:szCs w:val="24"/>
          <w:lang w:val="en-GB"/>
        </w:rPr>
        <w:t xml:space="preserve"> </w:t>
      </w:r>
      <w:r w:rsidRPr="001A7911">
        <w:rPr>
          <w:rFonts w:cstheme="minorHAnsi"/>
          <w:sz w:val="24"/>
          <w:szCs w:val="24"/>
          <w:lang w:val="en-GB"/>
        </w:rPr>
        <w:t>also be performed</w:t>
      </w:r>
      <w:r>
        <w:rPr>
          <w:rFonts w:cstheme="minorHAnsi"/>
          <w:sz w:val="24"/>
          <w:szCs w:val="24"/>
          <w:lang w:val="en-GB"/>
        </w:rPr>
        <w:t xml:space="preserve">, </w:t>
      </w:r>
      <w:r w:rsidR="007A79E5">
        <w:rPr>
          <w:rFonts w:cstheme="minorHAnsi"/>
          <w:sz w:val="24"/>
          <w:szCs w:val="24"/>
          <w:lang w:val="en-GB"/>
        </w:rPr>
        <w:t>based on risk assessment</w:t>
      </w:r>
      <w:r w:rsidRPr="001A7911">
        <w:rPr>
          <w:rFonts w:cstheme="minorHAnsi"/>
          <w:sz w:val="24"/>
          <w:szCs w:val="24"/>
          <w:lang w:val="en-GB"/>
        </w:rPr>
        <w:t>.</w:t>
      </w:r>
    </w:p>
    <w:p w14:paraId="0DC4F65D" w14:textId="0F0E8EA4" w:rsidR="00C6726C" w:rsidRPr="00EF028E" w:rsidRDefault="00EF028E" w:rsidP="00EF028E">
      <w:pPr>
        <w:jc w:val="both"/>
        <w:rPr>
          <w:rFonts w:cstheme="minorHAnsi"/>
          <w:sz w:val="24"/>
          <w:szCs w:val="24"/>
          <w:lang w:val="en-GB"/>
        </w:rPr>
      </w:pPr>
      <w:r w:rsidRPr="00EF028E">
        <w:rPr>
          <w:rFonts w:cstheme="minorHAnsi"/>
          <w:sz w:val="24"/>
          <w:szCs w:val="24"/>
          <w:lang w:val="en-GB"/>
        </w:rPr>
        <w:lastRenderedPageBreak/>
        <w:t xml:space="preserve">Deviations from </w:t>
      </w:r>
      <w:r>
        <w:rPr>
          <w:rFonts w:cstheme="minorHAnsi"/>
          <w:sz w:val="24"/>
          <w:szCs w:val="24"/>
          <w:lang w:val="en-GB"/>
        </w:rPr>
        <w:t xml:space="preserve">the </w:t>
      </w:r>
      <w:r w:rsidRPr="00EF028E">
        <w:rPr>
          <w:rFonts w:cstheme="minorHAnsi"/>
          <w:i/>
          <w:sz w:val="24"/>
          <w:szCs w:val="24"/>
          <w:lang w:val="en-GB"/>
        </w:rPr>
        <w:t>Ph. Eur</w:t>
      </w:r>
      <w:r>
        <w:rPr>
          <w:rFonts w:cstheme="minorHAnsi"/>
          <w:sz w:val="24"/>
          <w:szCs w:val="24"/>
          <w:lang w:val="en-GB"/>
        </w:rPr>
        <w:t>.</w:t>
      </w:r>
      <w:r w:rsidRPr="00EF028E">
        <w:rPr>
          <w:rFonts w:cstheme="minorHAnsi"/>
          <w:sz w:val="24"/>
          <w:szCs w:val="24"/>
          <w:lang w:val="en-GB"/>
        </w:rPr>
        <w:t xml:space="preserve"> standards should be</w:t>
      </w:r>
      <w:r>
        <w:rPr>
          <w:rFonts w:cstheme="minorHAnsi"/>
          <w:sz w:val="24"/>
          <w:szCs w:val="24"/>
          <w:lang w:val="en-GB"/>
        </w:rPr>
        <w:t xml:space="preserve"> </w:t>
      </w:r>
      <w:r w:rsidRPr="00EF028E">
        <w:rPr>
          <w:rFonts w:cstheme="minorHAnsi"/>
          <w:sz w:val="24"/>
          <w:szCs w:val="24"/>
          <w:lang w:val="en-GB"/>
        </w:rPr>
        <w:t xml:space="preserve">justified, and alternative test methods must be </w:t>
      </w:r>
      <w:r>
        <w:rPr>
          <w:rFonts w:cstheme="minorHAnsi"/>
          <w:sz w:val="24"/>
          <w:szCs w:val="24"/>
          <w:lang w:val="en-GB"/>
        </w:rPr>
        <w:t>v</w:t>
      </w:r>
      <w:r w:rsidRPr="00EF028E">
        <w:rPr>
          <w:rFonts w:cstheme="minorHAnsi"/>
          <w:sz w:val="24"/>
          <w:szCs w:val="24"/>
          <w:lang w:val="en-GB"/>
        </w:rPr>
        <w:t>alidated</w:t>
      </w:r>
      <w:r>
        <w:rPr>
          <w:rFonts w:cstheme="minorHAnsi"/>
          <w:sz w:val="24"/>
          <w:szCs w:val="24"/>
          <w:lang w:val="en-GB"/>
        </w:rPr>
        <w:t xml:space="preserve"> </w:t>
      </w:r>
      <w:r w:rsidRPr="00EF028E">
        <w:rPr>
          <w:rFonts w:cstheme="minorHAnsi"/>
          <w:sz w:val="24"/>
          <w:szCs w:val="24"/>
          <w:lang w:val="en-GB"/>
        </w:rPr>
        <w:t xml:space="preserve">in accordance with </w:t>
      </w:r>
      <w:r w:rsidRPr="00EF028E">
        <w:rPr>
          <w:rFonts w:cstheme="minorHAnsi"/>
          <w:i/>
          <w:sz w:val="24"/>
          <w:szCs w:val="24"/>
          <w:lang w:val="en-GB"/>
        </w:rPr>
        <w:t>Ph. Eur</w:t>
      </w:r>
      <w:r>
        <w:rPr>
          <w:rFonts w:cstheme="minorHAnsi"/>
          <w:i/>
          <w:sz w:val="24"/>
          <w:szCs w:val="24"/>
          <w:lang w:val="en-GB"/>
        </w:rPr>
        <w:t>.</w:t>
      </w:r>
      <w:r w:rsidRPr="00EF028E">
        <w:rPr>
          <w:rFonts w:cstheme="minorHAnsi"/>
          <w:sz w:val="24"/>
          <w:szCs w:val="24"/>
          <w:lang w:val="en-GB"/>
        </w:rPr>
        <w:t xml:space="preserve"> 5.1.6.</w:t>
      </w:r>
    </w:p>
    <w:p w14:paraId="5FAF5FED" w14:textId="337D0398" w:rsidR="00F04CAA" w:rsidRPr="00E14801" w:rsidRDefault="00BF4C06" w:rsidP="009A297D">
      <w:pPr>
        <w:pStyle w:val="Heading2"/>
        <w:numPr>
          <w:ilvl w:val="1"/>
          <w:numId w:val="16"/>
        </w:numPr>
      </w:pPr>
      <w:bookmarkStart w:id="27" w:name="_Toc41427163"/>
      <w:r w:rsidRPr="004E0E20">
        <w:t>Effect of PRT on BTC</w:t>
      </w:r>
      <w:r w:rsidR="00D450FB">
        <w:t xml:space="preserve"> q</w:t>
      </w:r>
      <w:r w:rsidR="00F04CAA" w:rsidRPr="00E14801">
        <w:t>uality</w:t>
      </w:r>
      <w:bookmarkEnd w:id="27"/>
      <w:r w:rsidR="00185744" w:rsidRPr="00E14801">
        <w:t xml:space="preserve"> </w:t>
      </w:r>
    </w:p>
    <w:p w14:paraId="12FF8876" w14:textId="7FB26F64" w:rsidR="00F5770F" w:rsidRPr="005D5606" w:rsidRDefault="007B435D" w:rsidP="0011204D">
      <w:pPr>
        <w:spacing w:before="240"/>
        <w:jc w:val="both"/>
        <w:rPr>
          <w:rFonts w:cstheme="minorHAnsi"/>
          <w:sz w:val="24"/>
          <w:szCs w:val="24"/>
          <w:lang w:val="en-GB"/>
        </w:rPr>
      </w:pPr>
      <w:r w:rsidRPr="005D5606">
        <w:rPr>
          <w:rFonts w:cstheme="minorHAnsi"/>
          <w:sz w:val="24"/>
          <w:szCs w:val="24"/>
          <w:lang w:val="en-GB"/>
        </w:rPr>
        <w:t xml:space="preserve">PRT must not change the properties of the </w:t>
      </w:r>
      <w:r w:rsidR="00422C79" w:rsidRPr="005D5606">
        <w:rPr>
          <w:rFonts w:cstheme="minorHAnsi"/>
          <w:sz w:val="24"/>
          <w:szCs w:val="24"/>
          <w:lang w:val="en-GB"/>
        </w:rPr>
        <w:t>BTC</w:t>
      </w:r>
      <w:r w:rsidR="00EF2502" w:rsidRPr="005D5606">
        <w:rPr>
          <w:rFonts w:cstheme="minorHAnsi"/>
          <w:sz w:val="24"/>
          <w:szCs w:val="24"/>
          <w:lang w:val="en-GB"/>
        </w:rPr>
        <w:t xml:space="preserve"> as to making it unacceptable for the clinical use. </w:t>
      </w:r>
      <w:r w:rsidR="00EC6946" w:rsidRPr="005D5606">
        <w:rPr>
          <w:rFonts w:cstheme="minorHAnsi"/>
          <w:sz w:val="24"/>
          <w:szCs w:val="24"/>
          <w:lang w:val="en-GB"/>
        </w:rPr>
        <w:t>The benefits of P</w:t>
      </w:r>
      <w:r w:rsidR="004D230F" w:rsidRPr="005D5606">
        <w:rPr>
          <w:rFonts w:cstheme="minorHAnsi"/>
          <w:sz w:val="24"/>
          <w:szCs w:val="24"/>
          <w:lang w:val="en-GB"/>
        </w:rPr>
        <w:t>RT</w:t>
      </w:r>
      <w:r w:rsidR="00F5309C">
        <w:rPr>
          <w:rFonts w:cstheme="minorHAnsi"/>
          <w:sz w:val="24"/>
          <w:szCs w:val="24"/>
          <w:lang w:val="en-GB"/>
        </w:rPr>
        <w:t xml:space="preserve"> in reducing microbiological</w:t>
      </w:r>
      <w:r w:rsidR="00EC6946" w:rsidRPr="005D5606">
        <w:rPr>
          <w:rFonts w:cstheme="minorHAnsi"/>
          <w:sz w:val="24"/>
          <w:szCs w:val="24"/>
          <w:lang w:val="en-GB"/>
        </w:rPr>
        <w:t xml:space="preserve"> risk must be balanced against any potential loss of </w:t>
      </w:r>
      <w:r w:rsidR="00D450FB">
        <w:rPr>
          <w:rFonts w:cstheme="minorHAnsi"/>
          <w:sz w:val="24"/>
          <w:szCs w:val="24"/>
          <w:lang w:val="en-GB"/>
        </w:rPr>
        <w:t>potency or</w:t>
      </w:r>
      <w:r w:rsidR="00EC6946" w:rsidRPr="005D5606">
        <w:rPr>
          <w:rFonts w:cstheme="minorHAnsi"/>
          <w:sz w:val="24"/>
          <w:szCs w:val="24"/>
          <w:lang w:val="en-GB"/>
        </w:rPr>
        <w:t xml:space="preserve"> efficacy of the </w:t>
      </w:r>
      <w:r w:rsidR="00D450FB">
        <w:rPr>
          <w:rFonts w:cstheme="minorHAnsi"/>
          <w:sz w:val="24"/>
          <w:szCs w:val="24"/>
          <w:lang w:val="en-GB"/>
        </w:rPr>
        <w:t>BTC</w:t>
      </w:r>
      <w:r w:rsidR="00EC6946" w:rsidRPr="005D5606">
        <w:rPr>
          <w:rFonts w:cstheme="minorHAnsi"/>
          <w:sz w:val="24"/>
          <w:szCs w:val="24"/>
          <w:lang w:val="en-GB"/>
        </w:rPr>
        <w:t xml:space="preserve"> and this </w:t>
      </w:r>
      <w:r w:rsidR="00F5309C">
        <w:rPr>
          <w:rFonts w:cstheme="minorHAnsi"/>
          <w:sz w:val="24"/>
          <w:szCs w:val="24"/>
          <w:lang w:val="en-GB"/>
        </w:rPr>
        <w:t>should</w:t>
      </w:r>
      <w:r w:rsidR="00EC6946" w:rsidRPr="005D5606">
        <w:rPr>
          <w:rFonts w:cstheme="minorHAnsi"/>
          <w:sz w:val="24"/>
          <w:szCs w:val="24"/>
          <w:lang w:val="en-GB"/>
        </w:rPr>
        <w:t xml:space="preserve"> be assessed as part of the validation</w:t>
      </w:r>
      <w:r w:rsidR="001308B4">
        <w:rPr>
          <w:rFonts w:cstheme="minorHAnsi"/>
          <w:sz w:val="24"/>
          <w:szCs w:val="24"/>
          <w:lang w:val="en-GB"/>
        </w:rPr>
        <w:t xml:space="preserve"> (JPAC guidance “</w:t>
      </w:r>
      <w:r w:rsidR="001308B4" w:rsidRPr="001308B4">
        <w:rPr>
          <w:rFonts w:cstheme="minorHAnsi"/>
          <w:sz w:val="24"/>
          <w:szCs w:val="24"/>
          <w:lang w:val="en-GB"/>
        </w:rPr>
        <w:t>Validation of Plasma and Platelet Pathogen Inactivation</w:t>
      </w:r>
      <w:r w:rsidR="001308B4">
        <w:rPr>
          <w:rFonts w:cstheme="minorHAnsi"/>
          <w:sz w:val="24"/>
          <w:szCs w:val="24"/>
          <w:lang w:val="en-GB"/>
        </w:rPr>
        <w:t>”)</w:t>
      </w:r>
      <w:r w:rsidR="00EC6946" w:rsidRPr="005D5606">
        <w:rPr>
          <w:rFonts w:cstheme="minorHAnsi"/>
          <w:sz w:val="24"/>
          <w:szCs w:val="24"/>
          <w:lang w:val="en-GB"/>
        </w:rPr>
        <w:t>.</w:t>
      </w:r>
      <w:r w:rsidR="00F5770F" w:rsidRPr="005D5606">
        <w:rPr>
          <w:rFonts w:cstheme="minorHAnsi"/>
          <w:sz w:val="24"/>
          <w:szCs w:val="24"/>
          <w:lang w:val="en-GB"/>
        </w:rPr>
        <w:t xml:space="preserve"> A framework to assess this is provided in the WP6 section</w:t>
      </w:r>
      <w:r w:rsidRPr="005D5606">
        <w:rPr>
          <w:rFonts w:cstheme="minorHAnsi"/>
          <w:sz w:val="24"/>
          <w:szCs w:val="24"/>
          <w:lang w:val="en-GB"/>
        </w:rPr>
        <w:t>/Annex I (</w:t>
      </w:r>
      <w:r w:rsidRPr="00F5309C">
        <w:rPr>
          <w:rFonts w:cstheme="minorHAnsi"/>
          <w:i/>
          <w:sz w:val="24"/>
          <w:szCs w:val="24"/>
          <w:lang w:val="en-GB"/>
        </w:rPr>
        <w:t>include more detailed reference here</w:t>
      </w:r>
      <w:r w:rsidRPr="005D5606">
        <w:rPr>
          <w:rFonts w:cstheme="minorHAnsi"/>
          <w:sz w:val="24"/>
          <w:szCs w:val="24"/>
          <w:lang w:val="en-GB"/>
        </w:rPr>
        <w:t>)</w:t>
      </w:r>
      <w:r w:rsidR="00F5770F" w:rsidRPr="005D5606">
        <w:rPr>
          <w:rFonts w:cstheme="minorHAnsi"/>
          <w:sz w:val="24"/>
          <w:szCs w:val="24"/>
          <w:lang w:val="en-GB"/>
        </w:rPr>
        <w:t>.</w:t>
      </w:r>
      <w:r w:rsidR="007C3A36" w:rsidRPr="005D5606">
        <w:rPr>
          <w:rFonts w:cstheme="minorHAnsi"/>
          <w:sz w:val="24"/>
          <w:szCs w:val="24"/>
          <w:lang w:val="en-GB"/>
        </w:rPr>
        <w:t xml:space="preserve"> </w:t>
      </w:r>
      <w:r w:rsidR="00D450FB">
        <w:rPr>
          <w:rFonts w:cstheme="minorHAnsi"/>
          <w:sz w:val="24"/>
          <w:szCs w:val="24"/>
          <w:lang w:val="en-GB"/>
        </w:rPr>
        <w:t xml:space="preserve"> </w:t>
      </w:r>
      <w:r w:rsidR="006D6AE8" w:rsidRPr="005D5606">
        <w:rPr>
          <w:rFonts w:cstheme="minorHAnsi"/>
          <w:sz w:val="24"/>
          <w:szCs w:val="24"/>
          <w:lang w:val="en-GB"/>
        </w:rPr>
        <w:t>A framework to assess this a</w:t>
      </w:r>
      <w:r w:rsidR="00D450FB">
        <w:rPr>
          <w:rFonts w:cstheme="minorHAnsi"/>
          <w:sz w:val="24"/>
          <w:szCs w:val="24"/>
          <w:lang w:val="en-GB"/>
        </w:rPr>
        <w:t>fter prion removal procedures is provided in the</w:t>
      </w:r>
      <w:r w:rsidR="006D6AE8" w:rsidRPr="005D5606">
        <w:rPr>
          <w:rFonts w:cstheme="minorHAnsi"/>
          <w:sz w:val="24"/>
          <w:szCs w:val="24"/>
          <w:lang w:val="en-GB"/>
        </w:rPr>
        <w:t xml:space="preserve"> JPAC guidance “Validation of Blood Component Quality Following Prion Removal Procedures for Red Cell Components”.</w:t>
      </w:r>
    </w:p>
    <w:p w14:paraId="0DF3E5A8" w14:textId="390537D5" w:rsidR="002861AF" w:rsidRDefault="002861AF" w:rsidP="0011204D">
      <w:pPr>
        <w:rPr>
          <w:rFonts w:cstheme="minorHAnsi"/>
          <w:b/>
          <w:sz w:val="24"/>
          <w:szCs w:val="24"/>
        </w:rPr>
      </w:pPr>
    </w:p>
    <w:p w14:paraId="183BB1C2" w14:textId="43DAEC65" w:rsidR="00ED66B5" w:rsidRDefault="00ED66B5" w:rsidP="0011204D">
      <w:pPr>
        <w:rPr>
          <w:rFonts w:cstheme="minorHAnsi"/>
          <w:b/>
          <w:sz w:val="24"/>
          <w:szCs w:val="24"/>
        </w:rPr>
      </w:pPr>
    </w:p>
    <w:p w14:paraId="2EA07DA7" w14:textId="77777777" w:rsidR="001B4698" w:rsidRDefault="001B4698" w:rsidP="0011204D">
      <w:pPr>
        <w:rPr>
          <w:rFonts w:cstheme="minorHAnsi"/>
          <w:b/>
          <w:sz w:val="24"/>
          <w:szCs w:val="24"/>
        </w:rPr>
      </w:pPr>
    </w:p>
    <w:p w14:paraId="799AE2DC" w14:textId="09B1DBD6" w:rsidR="00ED66B5" w:rsidRPr="00620A9D" w:rsidRDefault="00ED66B5" w:rsidP="009A297D">
      <w:pPr>
        <w:pStyle w:val="Heading1"/>
        <w:numPr>
          <w:ilvl w:val="0"/>
          <w:numId w:val="13"/>
        </w:numPr>
        <w:jc w:val="both"/>
      </w:pPr>
      <w:bookmarkStart w:id="28" w:name="_Toc39050071"/>
      <w:bookmarkStart w:id="29" w:name="_Toc41427164"/>
      <w:r w:rsidRPr="00620A9D">
        <w:t>Criteria for validation of sterilisation methods</w:t>
      </w:r>
      <w:bookmarkEnd w:id="28"/>
      <w:bookmarkEnd w:id="29"/>
      <w:r w:rsidRPr="00620A9D">
        <w:t xml:space="preserve"> </w:t>
      </w:r>
    </w:p>
    <w:p w14:paraId="45FE1280" w14:textId="77777777" w:rsidR="00ED66B5" w:rsidRPr="00E14801" w:rsidRDefault="00ED66B5" w:rsidP="00ED66B5">
      <w:pPr>
        <w:spacing w:after="0"/>
        <w:jc w:val="both"/>
        <w:rPr>
          <w:rFonts w:cstheme="minorHAnsi"/>
          <w:sz w:val="24"/>
          <w:szCs w:val="24"/>
          <w:lang w:val="en-GB"/>
        </w:rPr>
      </w:pPr>
    </w:p>
    <w:p w14:paraId="5F949591" w14:textId="676DA156" w:rsidR="001904EB" w:rsidRPr="00207D6B" w:rsidRDefault="001904EB" w:rsidP="001904EB">
      <w:pPr>
        <w:spacing w:after="0"/>
        <w:jc w:val="both"/>
        <w:rPr>
          <w:rFonts w:cstheme="minorHAnsi"/>
          <w:sz w:val="24"/>
          <w:szCs w:val="24"/>
          <w:lang w:val="en-GB"/>
        </w:rPr>
      </w:pPr>
      <w:r w:rsidRPr="00E14801">
        <w:rPr>
          <w:rFonts w:cstheme="minorHAnsi"/>
          <w:sz w:val="24"/>
          <w:szCs w:val="24"/>
          <w:lang w:val="en-GB"/>
        </w:rPr>
        <w:t xml:space="preserve">Key for microbiological and viral safety of BTC is the </w:t>
      </w:r>
      <w:r>
        <w:rPr>
          <w:rFonts w:cstheme="minorHAnsi"/>
          <w:sz w:val="24"/>
          <w:szCs w:val="24"/>
          <w:lang w:val="en-GB"/>
        </w:rPr>
        <w:t xml:space="preserve">confirmation </w:t>
      </w:r>
      <w:r w:rsidRPr="00E14801">
        <w:rPr>
          <w:rFonts w:cstheme="minorHAnsi"/>
          <w:sz w:val="24"/>
          <w:szCs w:val="24"/>
          <w:lang w:val="en-GB"/>
        </w:rPr>
        <w:t xml:space="preserve">of validated processes for pathogen reduction (see section 3 of this guidance) or sterilisation, where applicable. </w:t>
      </w:r>
      <w:r>
        <w:rPr>
          <w:rFonts w:cstheme="minorHAnsi"/>
          <w:sz w:val="24"/>
          <w:szCs w:val="24"/>
          <w:lang w:val="en-GB"/>
        </w:rPr>
        <w:t>The sterilis</w:t>
      </w:r>
      <w:r w:rsidRPr="00B804F8">
        <w:rPr>
          <w:rFonts w:cstheme="minorHAnsi"/>
          <w:sz w:val="24"/>
          <w:szCs w:val="24"/>
          <w:lang w:val="en-GB"/>
        </w:rPr>
        <w:t xml:space="preserve">ation methods </w:t>
      </w:r>
      <w:r>
        <w:rPr>
          <w:rFonts w:cstheme="minorHAnsi"/>
          <w:sz w:val="24"/>
          <w:szCs w:val="24"/>
          <w:lang w:val="en-GB"/>
        </w:rPr>
        <w:t xml:space="preserve">and criteria </w:t>
      </w:r>
      <w:r w:rsidRPr="00B804F8">
        <w:rPr>
          <w:rFonts w:cstheme="minorHAnsi"/>
          <w:sz w:val="24"/>
          <w:szCs w:val="24"/>
          <w:lang w:val="en-GB"/>
        </w:rPr>
        <w:t xml:space="preserve">described here apply </w:t>
      </w:r>
      <w:r>
        <w:rPr>
          <w:rFonts w:cstheme="minorHAnsi"/>
          <w:sz w:val="24"/>
          <w:szCs w:val="24"/>
          <w:lang w:val="en-GB"/>
        </w:rPr>
        <w:t xml:space="preserve">mainly </w:t>
      </w:r>
      <w:r w:rsidRPr="00B804F8">
        <w:rPr>
          <w:rFonts w:cstheme="minorHAnsi"/>
          <w:sz w:val="24"/>
          <w:szCs w:val="24"/>
          <w:lang w:val="en-GB"/>
        </w:rPr>
        <w:t>for bacteria</w:t>
      </w:r>
      <w:r>
        <w:rPr>
          <w:rFonts w:cstheme="minorHAnsi"/>
          <w:sz w:val="24"/>
          <w:szCs w:val="24"/>
          <w:lang w:val="en-GB"/>
        </w:rPr>
        <w:t xml:space="preserve"> and fungi</w:t>
      </w:r>
      <w:r w:rsidRPr="00B804F8">
        <w:rPr>
          <w:rFonts w:cstheme="minorHAnsi"/>
          <w:sz w:val="24"/>
          <w:szCs w:val="24"/>
          <w:lang w:val="en-GB"/>
        </w:rPr>
        <w:t>. If a risk assessment points out a viral contamination possibility, it is necessary to demonstrate the process capability of removing/inactivating relevant viruses during the process.</w:t>
      </w:r>
      <w:r>
        <w:rPr>
          <w:rFonts w:cstheme="minorHAnsi"/>
          <w:sz w:val="24"/>
          <w:szCs w:val="24"/>
          <w:lang w:val="en-GB"/>
        </w:rPr>
        <w:t xml:space="preserve"> </w:t>
      </w:r>
    </w:p>
    <w:p w14:paraId="623AD5BB" w14:textId="77777777" w:rsidR="001904EB" w:rsidRDefault="001904EB" w:rsidP="001904EB">
      <w:pPr>
        <w:spacing w:after="0"/>
        <w:jc w:val="both"/>
        <w:rPr>
          <w:rFonts w:cstheme="minorHAnsi"/>
          <w:color w:val="FF0000"/>
          <w:sz w:val="24"/>
          <w:szCs w:val="24"/>
          <w:lang w:val="en-GB"/>
        </w:rPr>
      </w:pPr>
    </w:p>
    <w:p w14:paraId="06266305" w14:textId="7E0F6F52" w:rsidR="001904EB" w:rsidRDefault="001904EB" w:rsidP="001904EB">
      <w:pPr>
        <w:spacing w:after="0"/>
        <w:jc w:val="both"/>
        <w:rPr>
          <w:rFonts w:cstheme="minorHAnsi"/>
          <w:sz w:val="24"/>
          <w:szCs w:val="24"/>
          <w:lang w:val="en-GB"/>
        </w:rPr>
      </w:pPr>
      <w:r w:rsidRPr="00F70C2B">
        <w:rPr>
          <w:rFonts w:cstheme="minorHAnsi"/>
          <w:sz w:val="24"/>
          <w:szCs w:val="24"/>
          <w:lang w:val="en-GB"/>
        </w:rPr>
        <w:t xml:space="preserve">Sterilisation is defined as a process that results in the state of complete absence of all cell-based micro-organisms capable of </w:t>
      </w:r>
      <w:r w:rsidRPr="00D36D50">
        <w:rPr>
          <w:rFonts w:cstheme="minorHAnsi"/>
          <w:sz w:val="24"/>
          <w:szCs w:val="24"/>
          <w:lang w:val="en-GB"/>
        </w:rPr>
        <w:t>replication (sterility)</w:t>
      </w:r>
      <w:r>
        <w:rPr>
          <w:rFonts w:cstheme="minorHAnsi"/>
          <w:sz w:val="24"/>
          <w:szCs w:val="24"/>
          <w:lang w:val="en-GB"/>
        </w:rPr>
        <w:t xml:space="preserve"> </w:t>
      </w:r>
      <w:r w:rsidRPr="007C07C0">
        <w:rPr>
          <w:rFonts w:cstheme="minorHAnsi"/>
          <w:sz w:val="24"/>
          <w:szCs w:val="24"/>
        </w:rPr>
        <w:t>(Ph Eur 5.1.1.</w:t>
      </w:r>
      <w:r>
        <w:rPr>
          <w:rFonts w:cstheme="minorHAnsi"/>
          <w:sz w:val="24"/>
          <w:szCs w:val="24"/>
        </w:rPr>
        <w:t xml:space="preserve">; </w:t>
      </w:r>
      <w:r w:rsidR="00E81151">
        <w:rPr>
          <w:rFonts w:cstheme="minorHAnsi"/>
          <w:sz w:val="24"/>
          <w:szCs w:val="24"/>
        </w:rPr>
        <w:t xml:space="preserve">EDQM </w:t>
      </w:r>
      <w:r>
        <w:rPr>
          <w:rFonts w:cstheme="minorHAnsi"/>
          <w:sz w:val="24"/>
          <w:szCs w:val="24"/>
        </w:rPr>
        <w:t>T&amp;C Guide 8.6.1.</w:t>
      </w:r>
      <w:r w:rsidRPr="007C07C0">
        <w:rPr>
          <w:rFonts w:cstheme="minorHAnsi"/>
          <w:sz w:val="24"/>
          <w:szCs w:val="24"/>
        </w:rPr>
        <w:t>)</w:t>
      </w:r>
      <w:r w:rsidRPr="00D36D50">
        <w:rPr>
          <w:rFonts w:cstheme="minorHAnsi"/>
          <w:sz w:val="24"/>
          <w:szCs w:val="24"/>
          <w:lang w:val="en-GB"/>
        </w:rPr>
        <w:t xml:space="preserve">. </w:t>
      </w:r>
      <w:r w:rsidRPr="00D36D50">
        <w:rPr>
          <w:rFonts w:cstheme="minorHAnsi"/>
          <w:sz w:val="24"/>
          <w:szCs w:val="24"/>
        </w:rPr>
        <w:t xml:space="preserve">According to directive 2006/17 (Annex IV, 1.3) sterile, wherever possible CE marked, instruments and devices must be used for tissue and cell procurement. </w:t>
      </w:r>
      <w:r w:rsidRPr="00D36D50">
        <w:rPr>
          <w:rFonts w:cstheme="minorHAnsi"/>
          <w:sz w:val="24"/>
          <w:szCs w:val="24"/>
          <w:lang w:val="en-GB"/>
        </w:rPr>
        <w:t>Where possible</w:t>
      </w:r>
      <w:r w:rsidRPr="00F70C2B">
        <w:rPr>
          <w:rFonts w:cstheme="minorHAnsi"/>
          <w:sz w:val="24"/>
          <w:szCs w:val="24"/>
          <w:lang w:val="en-GB"/>
        </w:rPr>
        <w:t xml:space="preserve">, single-use instruments for procurement are recommended. When re-usable instruments are used, a validated cleaning, disinfection, packaging and sterilisation process for removal of infectious agents </w:t>
      </w:r>
      <w:r>
        <w:rPr>
          <w:rFonts w:cstheme="minorHAnsi"/>
          <w:sz w:val="24"/>
          <w:szCs w:val="24"/>
          <w:lang w:val="en-GB"/>
        </w:rPr>
        <w:t xml:space="preserve">has to be in </w:t>
      </w:r>
      <w:r w:rsidRPr="00D81324">
        <w:rPr>
          <w:rFonts w:cstheme="minorHAnsi"/>
          <w:sz w:val="24"/>
          <w:szCs w:val="24"/>
          <w:lang w:val="en-GB"/>
        </w:rPr>
        <w:t>place (Direct</w:t>
      </w:r>
      <w:r>
        <w:rPr>
          <w:rFonts w:cstheme="minorHAnsi"/>
          <w:sz w:val="24"/>
          <w:szCs w:val="24"/>
          <w:lang w:val="en-GB"/>
        </w:rPr>
        <w:t>ive 2006/17/EC, Annex IV, 1.3.9)</w:t>
      </w:r>
      <w:r w:rsidRPr="00F70C2B">
        <w:rPr>
          <w:rFonts w:cstheme="minorHAnsi"/>
          <w:sz w:val="24"/>
          <w:szCs w:val="24"/>
          <w:lang w:val="en-GB"/>
        </w:rPr>
        <w:t xml:space="preserve">. For cell and tissue transplants, validated sterilisation and virus-inactivation processes are mandatory in many jurisdictions. In some countries a validated disinfection process may be accepted as </w:t>
      </w:r>
      <w:r>
        <w:rPr>
          <w:rFonts w:cstheme="minorHAnsi"/>
          <w:sz w:val="24"/>
          <w:szCs w:val="24"/>
          <w:lang w:val="en-GB"/>
        </w:rPr>
        <w:t xml:space="preserve">an alternative to </w:t>
      </w:r>
      <w:r w:rsidRPr="00D81324">
        <w:rPr>
          <w:rFonts w:cstheme="minorHAnsi"/>
          <w:sz w:val="24"/>
          <w:szCs w:val="24"/>
          <w:lang w:val="en-GB"/>
        </w:rPr>
        <w:t>sterilisation (EDQM T&amp;C guide 8.6).</w:t>
      </w:r>
      <w:r>
        <w:rPr>
          <w:rFonts w:cstheme="minorHAnsi"/>
          <w:sz w:val="24"/>
          <w:szCs w:val="24"/>
          <w:lang w:val="en-GB"/>
        </w:rPr>
        <w:t xml:space="preserve"> </w:t>
      </w:r>
    </w:p>
    <w:p w14:paraId="09B16281" w14:textId="77777777" w:rsidR="001904EB" w:rsidRDefault="001904EB" w:rsidP="001904EB">
      <w:pPr>
        <w:spacing w:after="0"/>
        <w:jc w:val="both"/>
        <w:rPr>
          <w:rFonts w:cstheme="minorHAnsi"/>
          <w:sz w:val="24"/>
          <w:szCs w:val="24"/>
          <w:lang w:val="en-GB"/>
        </w:rPr>
      </w:pPr>
    </w:p>
    <w:p w14:paraId="751C9E5D" w14:textId="1FC6DF82" w:rsidR="001904EB" w:rsidRDefault="001904EB" w:rsidP="001904EB">
      <w:pPr>
        <w:spacing w:after="0"/>
        <w:jc w:val="both"/>
        <w:rPr>
          <w:rFonts w:cstheme="minorHAnsi"/>
          <w:sz w:val="24"/>
          <w:szCs w:val="24"/>
        </w:rPr>
      </w:pPr>
      <w:r w:rsidRPr="00D36D50">
        <w:rPr>
          <w:rFonts w:cstheme="minorHAnsi"/>
          <w:sz w:val="24"/>
          <w:szCs w:val="24"/>
        </w:rPr>
        <w:lastRenderedPageBreak/>
        <w:t xml:space="preserve">Consistently, </w:t>
      </w:r>
      <w:r w:rsidR="00951133">
        <w:rPr>
          <w:rFonts w:cstheme="minorHAnsi"/>
          <w:sz w:val="24"/>
          <w:szCs w:val="24"/>
        </w:rPr>
        <w:t>D</w:t>
      </w:r>
      <w:r w:rsidRPr="00D36D50">
        <w:rPr>
          <w:rFonts w:cstheme="minorHAnsi"/>
          <w:sz w:val="24"/>
          <w:szCs w:val="24"/>
          <w:lang w:val="en-GB"/>
        </w:rPr>
        <w:t xml:space="preserve">irective 2005/62 sets the standards for using sterile </w:t>
      </w:r>
      <w:r w:rsidR="00951133">
        <w:rPr>
          <w:rFonts w:cstheme="minorHAnsi"/>
          <w:sz w:val="24"/>
          <w:szCs w:val="24"/>
          <w:lang w:val="en-GB"/>
        </w:rPr>
        <w:t xml:space="preserve">CE-marked </w:t>
      </w:r>
      <w:r w:rsidRPr="00D36D50">
        <w:rPr>
          <w:rFonts w:cstheme="minorHAnsi"/>
          <w:sz w:val="24"/>
          <w:szCs w:val="24"/>
          <w:lang w:val="en-GB"/>
        </w:rPr>
        <w:t>blood bag systems for the collection and processin</w:t>
      </w:r>
      <w:r w:rsidR="00951133">
        <w:rPr>
          <w:rFonts w:cstheme="minorHAnsi"/>
          <w:sz w:val="24"/>
          <w:szCs w:val="24"/>
          <w:lang w:val="en-GB"/>
        </w:rPr>
        <w:t>g of blood and blood components</w:t>
      </w:r>
      <w:r w:rsidRPr="00D36D50">
        <w:rPr>
          <w:rFonts w:cstheme="minorHAnsi"/>
          <w:sz w:val="24"/>
          <w:szCs w:val="24"/>
          <w:lang w:val="en-GB"/>
        </w:rPr>
        <w:t xml:space="preserve"> </w:t>
      </w:r>
      <w:r w:rsidRPr="00D36D50">
        <w:rPr>
          <w:rFonts w:cstheme="minorHAnsi"/>
          <w:sz w:val="24"/>
          <w:szCs w:val="24"/>
        </w:rPr>
        <w:t>(Directive 2005/62/EC/Annex 6.2.2)</w:t>
      </w:r>
      <w:r w:rsidR="00951133">
        <w:rPr>
          <w:rFonts w:cstheme="minorHAnsi"/>
          <w:sz w:val="24"/>
          <w:szCs w:val="24"/>
        </w:rPr>
        <w:t>.</w:t>
      </w:r>
      <w:r w:rsidRPr="00D36D50">
        <w:rPr>
          <w:rFonts w:cstheme="minorHAnsi"/>
          <w:sz w:val="24"/>
          <w:szCs w:val="24"/>
        </w:rPr>
        <w:t xml:space="preserve"> In addition, BE shall use sterile and pyrogen-free connective devices, anticoagulants and containers (EDQM</w:t>
      </w:r>
      <w:r w:rsidRPr="00D81324">
        <w:rPr>
          <w:rFonts w:cstheme="minorHAnsi"/>
          <w:sz w:val="24"/>
          <w:szCs w:val="24"/>
        </w:rPr>
        <w:t xml:space="preserve"> Blood guide, Good practices guidelines, 4, 6).</w:t>
      </w:r>
      <w:r>
        <w:rPr>
          <w:rFonts w:cstheme="minorHAnsi"/>
          <w:sz w:val="24"/>
          <w:szCs w:val="24"/>
        </w:rPr>
        <w:t xml:space="preserve"> </w:t>
      </w:r>
    </w:p>
    <w:p w14:paraId="65F45C21" w14:textId="77777777" w:rsidR="001904EB" w:rsidRPr="00F70C2B" w:rsidRDefault="001904EB" w:rsidP="001904EB">
      <w:pPr>
        <w:spacing w:after="0"/>
        <w:jc w:val="both"/>
        <w:rPr>
          <w:rFonts w:cstheme="minorHAnsi"/>
          <w:sz w:val="24"/>
          <w:szCs w:val="24"/>
          <w:lang w:val="en-GB"/>
        </w:rPr>
      </w:pPr>
    </w:p>
    <w:p w14:paraId="6A7F520D" w14:textId="4249D9F8" w:rsidR="001904EB" w:rsidRDefault="001904EB" w:rsidP="00925E55">
      <w:pPr>
        <w:spacing w:after="0"/>
        <w:jc w:val="both"/>
        <w:rPr>
          <w:rFonts w:cstheme="minorHAnsi"/>
          <w:sz w:val="24"/>
          <w:szCs w:val="24"/>
          <w:lang w:val="en-GB"/>
        </w:rPr>
      </w:pPr>
      <w:r w:rsidRPr="00E842D2">
        <w:rPr>
          <w:rFonts w:cstheme="minorHAnsi"/>
          <w:sz w:val="24"/>
          <w:szCs w:val="24"/>
          <w:lang w:val="en-GB"/>
        </w:rPr>
        <w:t xml:space="preserve">The </w:t>
      </w:r>
      <w:r w:rsidR="001B39EB" w:rsidRPr="00E842D2">
        <w:rPr>
          <w:rFonts w:cstheme="minorHAnsi"/>
          <w:sz w:val="24"/>
          <w:szCs w:val="24"/>
          <w:lang w:val="en-GB"/>
        </w:rPr>
        <w:t xml:space="preserve">conventional </w:t>
      </w:r>
      <w:r w:rsidRPr="00E842D2">
        <w:rPr>
          <w:rFonts w:cstheme="minorHAnsi"/>
          <w:sz w:val="24"/>
          <w:szCs w:val="24"/>
          <w:lang w:val="en-GB"/>
        </w:rPr>
        <w:t xml:space="preserve">test for sterility is described in Ph. Eur 2.6.1. </w:t>
      </w:r>
      <w:r w:rsidR="00925E55" w:rsidRPr="00E842D2">
        <w:rPr>
          <w:rFonts w:cstheme="minorHAnsi"/>
          <w:sz w:val="24"/>
          <w:szCs w:val="24"/>
          <w:lang w:val="en-GB"/>
        </w:rPr>
        <w:t xml:space="preserve">In addition, use of a validated automated culture system may be advantageous if available (Ph. Eur 2.6.27). </w:t>
      </w:r>
      <w:r w:rsidRPr="00E842D2">
        <w:rPr>
          <w:rFonts w:cstheme="minorHAnsi"/>
          <w:sz w:val="24"/>
          <w:szCs w:val="24"/>
          <w:lang w:val="en-GB"/>
        </w:rPr>
        <w:t xml:space="preserve">If sterility test is not feasible, </w:t>
      </w:r>
      <w:r w:rsidR="00E842D2">
        <w:rPr>
          <w:rFonts w:cstheme="minorHAnsi"/>
          <w:sz w:val="24"/>
          <w:szCs w:val="24"/>
          <w:lang w:val="en-GB"/>
        </w:rPr>
        <w:t>sterility</w:t>
      </w:r>
      <w:r w:rsidRPr="00267FF4">
        <w:rPr>
          <w:rFonts w:cstheme="minorHAnsi"/>
          <w:sz w:val="24"/>
          <w:szCs w:val="24"/>
          <w:lang w:val="en-GB"/>
        </w:rPr>
        <w:t xml:space="preserve"> needs to be assured by the use of suitably designed, validat</w:t>
      </w:r>
      <w:r>
        <w:rPr>
          <w:rFonts w:cstheme="minorHAnsi"/>
          <w:sz w:val="24"/>
          <w:szCs w:val="24"/>
          <w:lang w:val="en-GB"/>
        </w:rPr>
        <w:t>ed and controlled processe</w:t>
      </w:r>
      <w:r w:rsidRPr="00267FF4">
        <w:rPr>
          <w:rFonts w:cstheme="minorHAnsi"/>
          <w:sz w:val="24"/>
          <w:szCs w:val="24"/>
          <w:lang w:val="en-GB"/>
        </w:rPr>
        <w:t xml:space="preserve">s. </w:t>
      </w:r>
      <w:r w:rsidR="00E63741">
        <w:rPr>
          <w:rFonts w:cstheme="minorHAnsi"/>
          <w:sz w:val="24"/>
          <w:szCs w:val="24"/>
          <w:lang w:val="en-GB"/>
        </w:rPr>
        <w:t>Previou</w:t>
      </w:r>
      <w:r w:rsidR="00E842D2">
        <w:rPr>
          <w:rFonts w:cstheme="minorHAnsi"/>
          <w:sz w:val="24"/>
          <w:szCs w:val="24"/>
          <w:lang w:val="en-GB"/>
        </w:rPr>
        <w:t xml:space="preserve">s chapters 4.1 </w:t>
      </w:r>
      <w:r w:rsidRPr="00F70C2B">
        <w:rPr>
          <w:rFonts w:cstheme="minorHAnsi"/>
          <w:sz w:val="24"/>
          <w:szCs w:val="24"/>
          <w:lang w:val="en-GB"/>
        </w:rPr>
        <w:t xml:space="preserve">General validation requirements </w:t>
      </w:r>
      <w:r w:rsidR="00E842D2">
        <w:rPr>
          <w:rFonts w:cstheme="minorHAnsi"/>
          <w:sz w:val="24"/>
          <w:szCs w:val="24"/>
          <w:lang w:val="en-GB"/>
        </w:rPr>
        <w:t>and 4.4</w:t>
      </w:r>
      <w:r w:rsidRPr="00F70C2B">
        <w:rPr>
          <w:rFonts w:cstheme="minorHAnsi"/>
          <w:sz w:val="24"/>
          <w:szCs w:val="24"/>
          <w:lang w:val="en-GB"/>
        </w:rPr>
        <w:t xml:space="preserve"> </w:t>
      </w:r>
      <w:r w:rsidR="00925E55">
        <w:rPr>
          <w:rFonts w:cstheme="minorHAnsi"/>
          <w:sz w:val="24"/>
          <w:szCs w:val="24"/>
          <w:lang w:val="en-GB"/>
        </w:rPr>
        <w:t>M</w:t>
      </w:r>
      <w:r w:rsidR="00925E55" w:rsidRPr="00925E55">
        <w:rPr>
          <w:rFonts w:cstheme="minorHAnsi"/>
          <w:sz w:val="24"/>
          <w:szCs w:val="24"/>
          <w:lang w:val="en-GB"/>
        </w:rPr>
        <w:t xml:space="preserve">ethods for control of microbiological quality </w:t>
      </w:r>
      <w:r>
        <w:rPr>
          <w:rFonts w:cstheme="minorHAnsi"/>
          <w:sz w:val="24"/>
          <w:szCs w:val="24"/>
          <w:lang w:val="en-GB"/>
        </w:rPr>
        <w:t xml:space="preserve">apply </w:t>
      </w:r>
      <w:r w:rsidR="00925E55">
        <w:rPr>
          <w:rFonts w:cstheme="minorHAnsi"/>
          <w:sz w:val="24"/>
          <w:szCs w:val="24"/>
          <w:lang w:val="en-GB"/>
        </w:rPr>
        <w:t xml:space="preserve">also </w:t>
      </w:r>
      <w:r>
        <w:rPr>
          <w:rFonts w:cstheme="minorHAnsi"/>
          <w:sz w:val="24"/>
          <w:szCs w:val="24"/>
          <w:lang w:val="en-GB"/>
        </w:rPr>
        <w:t xml:space="preserve">to this chapter </w:t>
      </w:r>
      <w:r w:rsidR="00925E55">
        <w:rPr>
          <w:rFonts w:cstheme="minorHAnsi"/>
          <w:sz w:val="24"/>
          <w:szCs w:val="24"/>
          <w:lang w:val="en-GB"/>
        </w:rPr>
        <w:t>5.</w:t>
      </w:r>
      <w:r w:rsidRPr="00F70C2B">
        <w:rPr>
          <w:rFonts w:cstheme="minorHAnsi"/>
          <w:sz w:val="24"/>
          <w:szCs w:val="24"/>
          <w:lang w:val="en-GB"/>
        </w:rPr>
        <w:t xml:space="preserve"> </w:t>
      </w:r>
    </w:p>
    <w:p w14:paraId="317BA46D" w14:textId="77777777" w:rsidR="001904EB" w:rsidRDefault="001904EB" w:rsidP="001904EB">
      <w:pPr>
        <w:spacing w:after="0"/>
        <w:jc w:val="both"/>
        <w:rPr>
          <w:rFonts w:cstheme="minorHAnsi"/>
          <w:sz w:val="24"/>
          <w:szCs w:val="24"/>
          <w:lang w:val="en-GB"/>
        </w:rPr>
      </w:pPr>
    </w:p>
    <w:p w14:paraId="6F5FAC0E" w14:textId="6DC40A06" w:rsidR="001904EB" w:rsidRPr="009C0A53" w:rsidRDefault="001904EB" w:rsidP="009A297D">
      <w:pPr>
        <w:pStyle w:val="Heading2"/>
        <w:numPr>
          <w:ilvl w:val="1"/>
          <w:numId w:val="17"/>
        </w:numPr>
      </w:pPr>
      <w:bookmarkStart w:id="30" w:name="_Toc41427165"/>
      <w:r>
        <w:t>Objects of sterilisation</w:t>
      </w:r>
      <w:bookmarkEnd w:id="30"/>
    </w:p>
    <w:p w14:paraId="445899B6" w14:textId="28AF29F4" w:rsidR="001904EB" w:rsidRDefault="001904EB" w:rsidP="001904EB">
      <w:pPr>
        <w:spacing w:after="0"/>
        <w:jc w:val="both"/>
        <w:rPr>
          <w:rFonts w:cstheme="minorHAnsi"/>
          <w:sz w:val="24"/>
          <w:szCs w:val="24"/>
          <w:lang w:val="en-GB"/>
        </w:rPr>
      </w:pPr>
      <w:r w:rsidRPr="00E3303F">
        <w:rPr>
          <w:rFonts w:cstheme="minorHAnsi"/>
          <w:sz w:val="24"/>
          <w:szCs w:val="24"/>
        </w:rPr>
        <w:t xml:space="preserve">Tissues </w:t>
      </w:r>
      <w:r>
        <w:rPr>
          <w:rFonts w:cstheme="minorHAnsi"/>
          <w:sz w:val="24"/>
          <w:szCs w:val="24"/>
        </w:rPr>
        <w:t xml:space="preserve">(e.g. </w:t>
      </w:r>
      <w:r>
        <w:rPr>
          <w:rFonts w:cstheme="minorHAnsi"/>
          <w:sz w:val="24"/>
          <w:szCs w:val="24"/>
          <w:lang w:val="en-GB"/>
        </w:rPr>
        <w:t>bone and</w:t>
      </w:r>
      <w:r w:rsidRPr="00211F5D">
        <w:rPr>
          <w:rFonts w:cstheme="minorHAnsi"/>
          <w:sz w:val="24"/>
          <w:szCs w:val="24"/>
          <w:lang w:val="en-GB"/>
        </w:rPr>
        <w:t xml:space="preserve"> amniotic membrane</w:t>
      </w:r>
      <w:r>
        <w:rPr>
          <w:rFonts w:cstheme="minorHAnsi"/>
          <w:sz w:val="24"/>
          <w:szCs w:val="24"/>
          <w:lang w:val="en-GB"/>
        </w:rPr>
        <w:t xml:space="preserve">) </w:t>
      </w:r>
      <w:r w:rsidRPr="00E3303F">
        <w:rPr>
          <w:rFonts w:cstheme="minorHAnsi"/>
          <w:sz w:val="24"/>
          <w:szCs w:val="24"/>
        </w:rPr>
        <w:t xml:space="preserve">can </w:t>
      </w:r>
      <w:r>
        <w:rPr>
          <w:rFonts w:cstheme="minorHAnsi"/>
          <w:sz w:val="24"/>
          <w:szCs w:val="24"/>
        </w:rPr>
        <w:t>in some cases</w:t>
      </w:r>
      <w:r w:rsidRPr="00E3303F">
        <w:rPr>
          <w:rFonts w:cstheme="minorHAnsi"/>
          <w:sz w:val="24"/>
          <w:szCs w:val="24"/>
        </w:rPr>
        <w:t xml:space="preserve"> be subject to sterilisation methodologies </w:t>
      </w:r>
      <w:r w:rsidRPr="00D81324">
        <w:rPr>
          <w:rFonts w:cstheme="minorHAnsi"/>
          <w:sz w:val="24"/>
          <w:szCs w:val="24"/>
        </w:rPr>
        <w:t>(EDQM T&amp;C guide 1.3).</w:t>
      </w:r>
      <w:r w:rsidRPr="00E3303F">
        <w:rPr>
          <w:rFonts w:cstheme="minorHAnsi"/>
          <w:sz w:val="24"/>
          <w:szCs w:val="24"/>
        </w:rPr>
        <w:t xml:space="preserve"> </w:t>
      </w:r>
      <w:r w:rsidR="0073671E">
        <w:rPr>
          <w:rFonts w:cstheme="minorHAnsi"/>
          <w:sz w:val="24"/>
          <w:szCs w:val="24"/>
          <w:lang w:val="en-GB"/>
        </w:rPr>
        <w:t xml:space="preserve">Sterilisation to tissue grafts should be applied in their final packaging without subsequent exposure (JPAC General guidelines for tissue processing, 21.5.3.2).  </w:t>
      </w:r>
      <w:r w:rsidRPr="005F7BCC">
        <w:rPr>
          <w:rFonts w:cstheme="minorHAnsi"/>
          <w:sz w:val="24"/>
          <w:szCs w:val="24"/>
        </w:rPr>
        <w:t xml:space="preserve">For </w:t>
      </w:r>
      <w:r>
        <w:rPr>
          <w:rFonts w:cstheme="minorHAnsi"/>
          <w:sz w:val="24"/>
          <w:szCs w:val="24"/>
        </w:rPr>
        <w:t xml:space="preserve">cells and </w:t>
      </w:r>
      <w:r w:rsidRPr="005F7BCC">
        <w:rPr>
          <w:rFonts w:cstheme="minorHAnsi"/>
          <w:sz w:val="24"/>
          <w:szCs w:val="24"/>
        </w:rPr>
        <w:t>blood components, sterilis</w:t>
      </w:r>
      <w:r>
        <w:rPr>
          <w:rFonts w:cstheme="minorHAnsi"/>
          <w:sz w:val="24"/>
          <w:szCs w:val="24"/>
        </w:rPr>
        <w:t>ation is not applicable. However, p</w:t>
      </w:r>
      <w:r w:rsidRPr="005F7BCC">
        <w:rPr>
          <w:rFonts w:cstheme="minorHAnsi"/>
          <w:sz w:val="24"/>
          <w:szCs w:val="24"/>
        </w:rPr>
        <w:t xml:space="preserve">athogen reduction methods can be applied </w:t>
      </w:r>
      <w:r>
        <w:rPr>
          <w:rFonts w:cstheme="minorHAnsi"/>
          <w:sz w:val="24"/>
          <w:szCs w:val="24"/>
        </w:rPr>
        <w:t xml:space="preserve">to blood components </w:t>
      </w:r>
      <w:r w:rsidRPr="005F7BCC">
        <w:rPr>
          <w:rFonts w:cstheme="minorHAnsi"/>
          <w:sz w:val="24"/>
          <w:szCs w:val="24"/>
        </w:rPr>
        <w:t xml:space="preserve">(see chapter </w:t>
      </w:r>
      <w:r w:rsidR="007D271F">
        <w:rPr>
          <w:rFonts w:cstheme="minorHAnsi"/>
          <w:sz w:val="24"/>
          <w:szCs w:val="24"/>
        </w:rPr>
        <w:t>4</w:t>
      </w:r>
      <w:r w:rsidRPr="005F7BCC">
        <w:rPr>
          <w:rFonts w:cstheme="minorHAnsi"/>
          <w:sz w:val="24"/>
          <w:szCs w:val="24"/>
        </w:rPr>
        <w:t>).</w:t>
      </w:r>
      <w:r>
        <w:rPr>
          <w:rFonts w:cstheme="minorHAnsi"/>
          <w:sz w:val="24"/>
          <w:szCs w:val="24"/>
        </w:rPr>
        <w:t xml:space="preserve"> Wherever possible, s</w:t>
      </w:r>
      <w:r w:rsidRPr="00D565E2">
        <w:rPr>
          <w:rFonts w:cstheme="minorHAnsi"/>
          <w:sz w:val="24"/>
          <w:szCs w:val="24"/>
          <w:lang w:val="en-GB"/>
        </w:rPr>
        <w:t xml:space="preserve">terilisation methods </w:t>
      </w:r>
      <w:r>
        <w:rPr>
          <w:rFonts w:cstheme="minorHAnsi"/>
          <w:sz w:val="24"/>
          <w:szCs w:val="24"/>
          <w:lang w:val="en-GB"/>
        </w:rPr>
        <w:t>can</w:t>
      </w:r>
      <w:r w:rsidRPr="00D565E2">
        <w:rPr>
          <w:rFonts w:cstheme="minorHAnsi"/>
          <w:sz w:val="24"/>
          <w:szCs w:val="24"/>
          <w:lang w:val="en-GB"/>
        </w:rPr>
        <w:t xml:space="preserve"> be applied to instruments</w:t>
      </w:r>
      <w:r>
        <w:rPr>
          <w:rFonts w:cstheme="minorHAnsi"/>
          <w:sz w:val="24"/>
          <w:szCs w:val="24"/>
          <w:lang w:val="en-GB"/>
        </w:rPr>
        <w:t xml:space="preserve">, </w:t>
      </w:r>
      <w:r w:rsidRPr="00E14801">
        <w:rPr>
          <w:rFonts w:cstheme="minorHAnsi"/>
          <w:sz w:val="24"/>
          <w:szCs w:val="24"/>
          <w:lang w:val="en-GB"/>
        </w:rPr>
        <w:t>procurement devices</w:t>
      </w:r>
      <w:r w:rsidRPr="00D565E2">
        <w:rPr>
          <w:rFonts w:cstheme="minorHAnsi"/>
          <w:sz w:val="24"/>
          <w:szCs w:val="24"/>
          <w:lang w:val="en-GB"/>
        </w:rPr>
        <w:t xml:space="preserve"> </w:t>
      </w:r>
      <w:r>
        <w:rPr>
          <w:rFonts w:cstheme="minorHAnsi"/>
          <w:sz w:val="24"/>
          <w:szCs w:val="24"/>
          <w:lang w:val="en-GB"/>
        </w:rPr>
        <w:t>and</w:t>
      </w:r>
      <w:r w:rsidRPr="00D565E2">
        <w:rPr>
          <w:rFonts w:cstheme="minorHAnsi"/>
          <w:sz w:val="24"/>
          <w:szCs w:val="24"/>
          <w:lang w:val="en-GB"/>
        </w:rPr>
        <w:t xml:space="preserve"> materials (e.g. raw materials, reagents, excipients, single-use components, container</w:t>
      </w:r>
      <w:r>
        <w:rPr>
          <w:rFonts w:cstheme="minorHAnsi"/>
          <w:sz w:val="24"/>
          <w:szCs w:val="24"/>
          <w:lang w:val="en-GB"/>
        </w:rPr>
        <w:t>s</w:t>
      </w:r>
      <w:r w:rsidRPr="004B2FFB">
        <w:rPr>
          <w:rFonts w:cstheme="minorHAnsi"/>
          <w:sz w:val="24"/>
          <w:szCs w:val="24"/>
          <w:lang w:val="en-GB"/>
        </w:rPr>
        <w:t>, gowning</w:t>
      </w:r>
      <w:r>
        <w:rPr>
          <w:rFonts w:cstheme="minorHAnsi"/>
          <w:sz w:val="24"/>
          <w:szCs w:val="24"/>
          <w:lang w:val="en-GB"/>
        </w:rPr>
        <w:t xml:space="preserve"> and cloth</w:t>
      </w:r>
      <w:r w:rsidRPr="00D565E2">
        <w:rPr>
          <w:rFonts w:cstheme="minorHAnsi"/>
          <w:sz w:val="24"/>
          <w:szCs w:val="24"/>
          <w:lang w:val="en-GB"/>
        </w:rPr>
        <w:t xml:space="preserve">) </w:t>
      </w:r>
      <w:r>
        <w:rPr>
          <w:rFonts w:cstheme="minorHAnsi"/>
          <w:sz w:val="24"/>
          <w:szCs w:val="24"/>
          <w:lang w:val="en-GB"/>
        </w:rPr>
        <w:t xml:space="preserve">which </w:t>
      </w:r>
      <w:r w:rsidRPr="00D565E2">
        <w:rPr>
          <w:rFonts w:cstheme="minorHAnsi"/>
          <w:sz w:val="24"/>
          <w:szCs w:val="24"/>
          <w:lang w:val="en-GB"/>
        </w:rPr>
        <w:t xml:space="preserve">are in contact with starting materials, process intermediates or final </w:t>
      </w:r>
      <w:r>
        <w:rPr>
          <w:rFonts w:cstheme="minorHAnsi"/>
          <w:sz w:val="24"/>
          <w:szCs w:val="24"/>
          <w:lang w:val="en-GB"/>
        </w:rPr>
        <w:t xml:space="preserve">products </w:t>
      </w:r>
      <w:r w:rsidRPr="00AA2A75">
        <w:rPr>
          <w:rFonts w:cstheme="minorHAnsi"/>
          <w:sz w:val="24"/>
          <w:szCs w:val="24"/>
          <w:lang w:val="en-GB"/>
        </w:rPr>
        <w:t>(Directive 2006/17/EC, article 2, section 7 and A</w:t>
      </w:r>
      <w:r w:rsidR="007D271F">
        <w:rPr>
          <w:rFonts w:cstheme="minorHAnsi"/>
          <w:sz w:val="24"/>
          <w:szCs w:val="24"/>
          <w:lang w:val="en-GB"/>
        </w:rPr>
        <w:t>nnex</w:t>
      </w:r>
      <w:r w:rsidRPr="00AA2A75">
        <w:rPr>
          <w:rFonts w:cstheme="minorHAnsi"/>
          <w:sz w:val="24"/>
          <w:szCs w:val="24"/>
          <w:lang w:val="en-GB"/>
        </w:rPr>
        <w:t xml:space="preserve"> IV 1.3.8)</w:t>
      </w:r>
      <w:r>
        <w:rPr>
          <w:rFonts w:cstheme="minorHAnsi"/>
          <w:sz w:val="24"/>
          <w:szCs w:val="24"/>
          <w:lang w:val="en-GB"/>
        </w:rPr>
        <w:t>.</w:t>
      </w:r>
    </w:p>
    <w:p w14:paraId="160DA214" w14:textId="77777777" w:rsidR="001904EB" w:rsidRPr="0096595B" w:rsidRDefault="001904EB" w:rsidP="001904EB">
      <w:pPr>
        <w:spacing w:after="0"/>
        <w:jc w:val="both"/>
        <w:rPr>
          <w:rFonts w:cstheme="minorHAnsi"/>
          <w:sz w:val="24"/>
          <w:szCs w:val="24"/>
        </w:rPr>
      </w:pPr>
    </w:p>
    <w:p w14:paraId="240F8D45" w14:textId="5EBCAFAA" w:rsidR="001904EB" w:rsidRPr="000D5747" w:rsidRDefault="001904EB" w:rsidP="009A297D">
      <w:pPr>
        <w:pStyle w:val="Heading2"/>
        <w:numPr>
          <w:ilvl w:val="1"/>
          <w:numId w:val="17"/>
        </w:numPr>
      </w:pPr>
      <w:bookmarkStart w:id="31" w:name="_Toc41427166"/>
      <w:r>
        <w:t>S</w:t>
      </w:r>
      <w:r w:rsidRPr="000D5747">
        <w:t>terilisation methods</w:t>
      </w:r>
      <w:bookmarkEnd w:id="31"/>
      <w:r w:rsidRPr="000D5747">
        <w:t xml:space="preserve"> </w:t>
      </w:r>
    </w:p>
    <w:p w14:paraId="03AB45CB" w14:textId="25F6E270" w:rsidR="001904EB" w:rsidRDefault="001904EB" w:rsidP="00E81151">
      <w:pPr>
        <w:autoSpaceDE w:val="0"/>
        <w:autoSpaceDN w:val="0"/>
        <w:adjustRightInd w:val="0"/>
        <w:spacing w:after="0"/>
        <w:jc w:val="both"/>
        <w:rPr>
          <w:rFonts w:cstheme="minorHAnsi"/>
          <w:sz w:val="24"/>
          <w:szCs w:val="24"/>
          <w:lang w:val="en-GB"/>
        </w:rPr>
      </w:pPr>
      <w:r>
        <w:rPr>
          <w:rFonts w:cstheme="minorHAnsi"/>
          <w:sz w:val="24"/>
          <w:szCs w:val="24"/>
          <w:lang w:val="en-GB"/>
        </w:rPr>
        <w:t>Whenever possible, s</w:t>
      </w:r>
      <w:r w:rsidRPr="007E4D80">
        <w:rPr>
          <w:rFonts w:cstheme="minorHAnsi"/>
          <w:sz w:val="24"/>
          <w:szCs w:val="24"/>
          <w:lang w:val="en-GB"/>
        </w:rPr>
        <w:t xml:space="preserve">terilisation </w:t>
      </w:r>
      <w:r>
        <w:rPr>
          <w:rFonts w:cstheme="minorHAnsi"/>
          <w:sz w:val="24"/>
          <w:szCs w:val="24"/>
          <w:lang w:val="en-GB"/>
        </w:rPr>
        <w:t>should be done using methods described in</w:t>
      </w:r>
      <w:r w:rsidRPr="007E4D80">
        <w:rPr>
          <w:rFonts w:cstheme="minorHAnsi"/>
          <w:sz w:val="24"/>
          <w:szCs w:val="24"/>
          <w:lang w:val="en-GB"/>
        </w:rPr>
        <w:t xml:space="preserve"> the European Pharmacopoeia (</w:t>
      </w:r>
      <w:r w:rsidRPr="00DF280B">
        <w:rPr>
          <w:rFonts w:cstheme="minorHAnsi"/>
          <w:sz w:val="24"/>
          <w:szCs w:val="24"/>
          <w:lang w:val="en-GB"/>
        </w:rPr>
        <w:t>5.1.1)</w:t>
      </w:r>
      <w:r>
        <w:rPr>
          <w:rFonts w:cstheme="minorHAnsi"/>
          <w:sz w:val="24"/>
          <w:szCs w:val="24"/>
          <w:lang w:val="en-GB"/>
        </w:rPr>
        <w:t xml:space="preserve">. Main points are also presented in </w:t>
      </w:r>
      <w:r w:rsidRPr="00D014DE">
        <w:rPr>
          <w:rFonts w:cstheme="minorHAnsi"/>
          <w:sz w:val="24"/>
          <w:szCs w:val="24"/>
          <w:lang w:val="en-GB"/>
        </w:rPr>
        <w:t>European Medicines Agency</w:t>
      </w:r>
      <w:r>
        <w:rPr>
          <w:rFonts w:cstheme="minorHAnsi"/>
          <w:sz w:val="24"/>
          <w:szCs w:val="24"/>
          <w:lang w:val="en-GB"/>
        </w:rPr>
        <w:t xml:space="preserve"> guideline (</w:t>
      </w:r>
      <w:r w:rsidRPr="00DF280B">
        <w:rPr>
          <w:rFonts w:cstheme="minorHAnsi"/>
          <w:sz w:val="24"/>
          <w:szCs w:val="24"/>
          <w:lang w:val="en-GB"/>
        </w:rPr>
        <w:t>EMA/CHMP/CVMP/QWP/850374/2015</w:t>
      </w:r>
      <w:r>
        <w:rPr>
          <w:rFonts w:cstheme="minorHAnsi"/>
          <w:sz w:val="24"/>
          <w:szCs w:val="24"/>
          <w:lang w:val="en-GB"/>
        </w:rPr>
        <w:t>).</w:t>
      </w:r>
      <w:r w:rsidRPr="007E4D80">
        <w:rPr>
          <w:rFonts w:cstheme="minorHAnsi"/>
          <w:sz w:val="24"/>
          <w:szCs w:val="24"/>
          <w:lang w:val="en-GB"/>
        </w:rPr>
        <w:t xml:space="preserve"> </w:t>
      </w:r>
      <w:r>
        <w:rPr>
          <w:rFonts w:cstheme="minorHAnsi"/>
          <w:sz w:val="24"/>
          <w:szCs w:val="24"/>
          <w:lang w:val="en-GB"/>
        </w:rPr>
        <w:t xml:space="preserve">These methods </w:t>
      </w:r>
      <w:r w:rsidRPr="00E14801">
        <w:rPr>
          <w:rFonts w:cstheme="minorHAnsi"/>
          <w:sz w:val="24"/>
          <w:szCs w:val="24"/>
          <w:lang w:val="en-GB"/>
        </w:rPr>
        <w:t xml:space="preserve">are based on </w:t>
      </w:r>
      <w:r>
        <w:rPr>
          <w:rFonts w:cstheme="minorHAnsi"/>
          <w:sz w:val="24"/>
          <w:szCs w:val="24"/>
          <w:lang w:val="en-GB"/>
        </w:rPr>
        <w:t xml:space="preserve">moist heat (steam), </w:t>
      </w:r>
      <w:r w:rsidRPr="00E14801">
        <w:rPr>
          <w:rFonts w:cstheme="minorHAnsi"/>
          <w:sz w:val="24"/>
          <w:szCs w:val="24"/>
          <w:lang w:val="en-GB"/>
        </w:rPr>
        <w:t xml:space="preserve">dry heat, </w:t>
      </w:r>
      <w:r>
        <w:rPr>
          <w:rFonts w:cstheme="minorHAnsi"/>
          <w:sz w:val="24"/>
          <w:szCs w:val="24"/>
          <w:lang w:val="en-GB"/>
        </w:rPr>
        <w:t>gas</w:t>
      </w:r>
      <w:r w:rsidRPr="00E14801">
        <w:rPr>
          <w:rFonts w:cstheme="minorHAnsi"/>
          <w:sz w:val="24"/>
          <w:szCs w:val="24"/>
          <w:lang w:val="en-GB"/>
        </w:rPr>
        <w:t>, irradiation or</w:t>
      </w:r>
      <w:r>
        <w:rPr>
          <w:rFonts w:cstheme="minorHAnsi"/>
          <w:sz w:val="24"/>
          <w:szCs w:val="24"/>
          <w:lang w:val="en-GB"/>
        </w:rPr>
        <w:t xml:space="preserve"> </w:t>
      </w:r>
      <w:r w:rsidRPr="00DF280B">
        <w:rPr>
          <w:rFonts w:cstheme="minorHAnsi"/>
          <w:sz w:val="24"/>
          <w:szCs w:val="24"/>
          <w:lang w:val="en-GB"/>
        </w:rPr>
        <w:t>membrane filtration</w:t>
      </w:r>
      <w:r w:rsidRPr="00E14801">
        <w:rPr>
          <w:rFonts w:cstheme="minorHAnsi"/>
          <w:sz w:val="24"/>
          <w:szCs w:val="24"/>
          <w:lang w:val="en-GB"/>
        </w:rPr>
        <w:t>. Selection of the sterilisation method must be based on the</w:t>
      </w:r>
      <w:r>
        <w:rPr>
          <w:rFonts w:cstheme="minorHAnsi"/>
          <w:sz w:val="24"/>
          <w:szCs w:val="24"/>
          <w:lang w:val="en-GB"/>
        </w:rPr>
        <w:t xml:space="preserve"> </w:t>
      </w:r>
      <w:r w:rsidRPr="00E14801">
        <w:rPr>
          <w:rFonts w:cstheme="minorHAnsi"/>
          <w:sz w:val="24"/>
          <w:szCs w:val="24"/>
          <w:lang w:val="en-GB"/>
        </w:rPr>
        <w:t xml:space="preserve"> characteristics </w:t>
      </w:r>
      <w:r>
        <w:rPr>
          <w:rFonts w:cstheme="minorHAnsi"/>
          <w:sz w:val="24"/>
          <w:szCs w:val="24"/>
          <w:lang w:val="en-GB"/>
        </w:rPr>
        <w:t>of the object</w:t>
      </w:r>
      <w:r w:rsidRPr="00E14801">
        <w:rPr>
          <w:rFonts w:cstheme="minorHAnsi"/>
          <w:sz w:val="24"/>
          <w:szCs w:val="24"/>
          <w:lang w:val="en-GB"/>
        </w:rPr>
        <w:t xml:space="preserve"> </w:t>
      </w:r>
      <w:r>
        <w:rPr>
          <w:rFonts w:cstheme="minorHAnsi"/>
          <w:sz w:val="24"/>
          <w:szCs w:val="24"/>
          <w:lang w:val="en-GB"/>
        </w:rPr>
        <w:t xml:space="preserve">of the sterilisation </w:t>
      </w:r>
      <w:r w:rsidRPr="00E14801">
        <w:rPr>
          <w:rFonts w:cstheme="minorHAnsi"/>
          <w:sz w:val="24"/>
          <w:szCs w:val="24"/>
          <w:lang w:val="en-GB"/>
        </w:rPr>
        <w:t>and its associated bioburden</w:t>
      </w:r>
      <w:r>
        <w:rPr>
          <w:rFonts w:cstheme="minorHAnsi"/>
          <w:sz w:val="24"/>
          <w:szCs w:val="24"/>
          <w:lang w:val="en-GB"/>
        </w:rPr>
        <w:t xml:space="preserve"> (</w:t>
      </w:r>
      <w:r w:rsidRPr="00E81151">
        <w:rPr>
          <w:rFonts w:cstheme="minorHAnsi"/>
          <w:sz w:val="24"/>
          <w:szCs w:val="24"/>
          <w:lang w:val="en-GB"/>
        </w:rPr>
        <w:t>Table X</w:t>
      </w:r>
      <w:r>
        <w:rPr>
          <w:rFonts w:cstheme="minorHAnsi"/>
          <w:sz w:val="24"/>
          <w:szCs w:val="24"/>
          <w:lang w:val="en-GB"/>
        </w:rPr>
        <w:t>)</w:t>
      </w:r>
      <w:r w:rsidRPr="00E14801">
        <w:rPr>
          <w:rFonts w:cstheme="minorHAnsi"/>
          <w:sz w:val="24"/>
          <w:szCs w:val="24"/>
          <w:lang w:val="en-GB"/>
        </w:rPr>
        <w:t xml:space="preserve">. </w:t>
      </w:r>
      <w:r>
        <w:rPr>
          <w:rFonts w:cstheme="minorHAnsi"/>
          <w:sz w:val="24"/>
          <w:szCs w:val="24"/>
          <w:lang w:val="en-GB"/>
        </w:rPr>
        <w:t>Modifications or combinations of the described methods may be used, provided that the procedure(s) is validated.</w:t>
      </w:r>
    </w:p>
    <w:p w14:paraId="5CA13949" w14:textId="77777777" w:rsidR="001904EB" w:rsidRPr="00DF280B" w:rsidRDefault="001904EB" w:rsidP="001904EB">
      <w:pPr>
        <w:autoSpaceDE w:val="0"/>
        <w:autoSpaceDN w:val="0"/>
        <w:adjustRightInd w:val="0"/>
        <w:spacing w:after="0"/>
        <w:rPr>
          <w:rFonts w:cstheme="minorHAnsi"/>
          <w:sz w:val="24"/>
          <w:szCs w:val="24"/>
          <w:lang w:val="en-GB"/>
        </w:rPr>
      </w:pPr>
    </w:p>
    <w:p w14:paraId="301F9CBB" w14:textId="559D6F77" w:rsidR="001904EB" w:rsidRDefault="001904EB" w:rsidP="001904EB">
      <w:pPr>
        <w:spacing w:after="0"/>
        <w:jc w:val="both"/>
        <w:rPr>
          <w:rFonts w:cstheme="minorHAnsi"/>
          <w:sz w:val="24"/>
          <w:szCs w:val="24"/>
          <w:lang w:val="en-GB"/>
        </w:rPr>
      </w:pPr>
      <w:r w:rsidRPr="00DF280B">
        <w:rPr>
          <w:rFonts w:cstheme="minorHAnsi"/>
          <w:b/>
          <w:sz w:val="24"/>
          <w:szCs w:val="24"/>
          <w:lang w:val="en-GB"/>
        </w:rPr>
        <w:t>Table X</w:t>
      </w:r>
      <w:r w:rsidR="00E81151">
        <w:rPr>
          <w:rFonts w:cstheme="minorHAnsi"/>
          <w:b/>
          <w:sz w:val="24"/>
          <w:szCs w:val="24"/>
          <w:lang w:val="en-GB"/>
        </w:rPr>
        <w:t>.</w:t>
      </w:r>
      <w:r>
        <w:rPr>
          <w:rFonts w:cstheme="minorHAnsi"/>
          <w:sz w:val="24"/>
          <w:szCs w:val="24"/>
          <w:lang w:val="en-GB"/>
        </w:rPr>
        <w:t xml:space="preserve"> Sterilisation methods according to Ph. Eur. 5.1.1 “Methods of preparation of sterile products”</w:t>
      </w:r>
    </w:p>
    <w:tbl>
      <w:tblPr>
        <w:tblStyle w:val="TableGrid"/>
        <w:tblW w:w="9634" w:type="dxa"/>
        <w:tblLook w:val="04A0" w:firstRow="1" w:lastRow="0" w:firstColumn="1" w:lastColumn="0" w:noHBand="0" w:noVBand="1"/>
      </w:tblPr>
      <w:tblGrid>
        <w:gridCol w:w="2547"/>
        <w:gridCol w:w="4014"/>
        <w:gridCol w:w="3073"/>
      </w:tblGrid>
      <w:tr w:rsidR="001904EB" w14:paraId="76131573" w14:textId="77777777" w:rsidTr="00760A81">
        <w:tc>
          <w:tcPr>
            <w:tcW w:w="2547" w:type="dxa"/>
            <w:shd w:val="clear" w:color="auto" w:fill="CFDFEA" w:themeFill="text2" w:themeFillTint="33"/>
          </w:tcPr>
          <w:p w14:paraId="47CC8B66" w14:textId="77777777" w:rsidR="001904EB" w:rsidRPr="00121285" w:rsidRDefault="001904EB" w:rsidP="00760A81">
            <w:pPr>
              <w:spacing w:line="276" w:lineRule="auto"/>
              <w:jc w:val="both"/>
              <w:rPr>
                <w:rFonts w:cstheme="minorHAnsi"/>
                <w:b/>
                <w:sz w:val="24"/>
                <w:szCs w:val="24"/>
                <w:lang w:val="en-GB"/>
              </w:rPr>
            </w:pPr>
            <w:r>
              <w:rPr>
                <w:rFonts w:cstheme="minorHAnsi"/>
                <w:b/>
                <w:sz w:val="24"/>
                <w:szCs w:val="24"/>
                <w:lang w:val="en-GB"/>
              </w:rPr>
              <w:t xml:space="preserve">Sterilisation </w:t>
            </w:r>
            <w:r w:rsidRPr="00121285">
              <w:rPr>
                <w:rFonts w:cstheme="minorHAnsi"/>
                <w:b/>
                <w:sz w:val="24"/>
                <w:szCs w:val="24"/>
                <w:lang w:val="en-GB"/>
              </w:rPr>
              <w:t>Method</w:t>
            </w:r>
          </w:p>
        </w:tc>
        <w:tc>
          <w:tcPr>
            <w:tcW w:w="4014" w:type="dxa"/>
            <w:shd w:val="clear" w:color="auto" w:fill="CFDFEA" w:themeFill="text2" w:themeFillTint="33"/>
          </w:tcPr>
          <w:p w14:paraId="0D0C9D40" w14:textId="77777777" w:rsidR="001904EB" w:rsidRPr="00121285" w:rsidRDefault="001904EB" w:rsidP="00760A81">
            <w:pPr>
              <w:spacing w:line="276" w:lineRule="auto"/>
              <w:jc w:val="both"/>
              <w:rPr>
                <w:rFonts w:cstheme="minorHAnsi"/>
                <w:b/>
                <w:sz w:val="24"/>
                <w:szCs w:val="24"/>
                <w:lang w:val="en-GB"/>
              </w:rPr>
            </w:pPr>
            <w:r>
              <w:rPr>
                <w:rFonts w:cstheme="minorHAnsi"/>
                <w:b/>
                <w:sz w:val="24"/>
                <w:szCs w:val="24"/>
                <w:lang w:val="en-GB"/>
              </w:rPr>
              <w:t>Application examples</w:t>
            </w:r>
          </w:p>
        </w:tc>
        <w:tc>
          <w:tcPr>
            <w:tcW w:w="3073" w:type="dxa"/>
            <w:shd w:val="clear" w:color="auto" w:fill="CFDFEA" w:themeFill="text2" w:themeFillTint="33"/>
          </w:tcPr>
          <w:p w14:paraId="37F967E2" w14:textId="77777777" w:rsidR="001904EB" w:rsidRDefault="001904EB" w:rsidP="00760A81">
            <w:pPr>
              <w:spacing w:line="276" w:lineRule="auto"/>
              <w:jc w:val="both"/>
              <w:rPr>
                <w:rFonts w:cstheme="minorHAnsi"/>
                <w:b/>
                <w:sz w:val="24"/>
                <w:szCs w:val="24"/>
                <w:lang w:val="en-GB"/>
              </w:rPr>
            </w:pPr>
            <w:r>
              <w:rPr>
                <w:rFonts w:cstheme="minorHAnsi"/>
                <w:b/>
                <w:sz w:val="24"/>
                <w:szCs w:val="24"/>
                <w:lang w:val="en-GB"/>
              </w:rPr>
              <w:t>Reference conditions</w:t>
            </w:r>
          </w:p>
        </w:tc>
      </w:tr>
      <w:tr w:rsidR="001904EB" w14:paraId="5B1831D0" w14:textId="77777777" w:rsidTr="00760A81">
        <w:tc>
          <w:tcPr>
            <w:tcW w:w="2547" w:type="dxa"/>
          </w:tcPr>
          <w:p w14:paraId="552AE080" w14:textId="77777777" w:rsidR="001904EB" w:rsidRDefault="001904EB" w:rsidP="00760A81">
            <w:pPr>
              <w:spacing w:line="276" w:lineRule="auto"/>
              <w:jc w:val="both"/>
              <w:rPr>
                <w:rFonts w:cstheme="minorHAnsi"/>
                <w:sz w:val="24"/>
                <w:szCs w:val="24"/>
                <w:lang w:val="en-GB"/>
              </w:rPr>
            </w:pPr>
            <w:r>
              <w:rPr>
                <w:rFonts w:cstheme="minorHAnsi"/>
                <w:sz w:val="24"/>
                <w:szCs w:val="24"/>
                <w:lang w:val="en-GB"/>
              </w:rPr>
              <w:t>Steam</w:t>
            </w:r>
          </w:p>
        </w:tc>
        <w:tc>
          <w:tcPr>
            <w:tcW w:w="4014" w:type="dxa"/>
          </w:tcPr>
          <w:p w14:paraId="68F374ED" w14:textId="77777777" w:rsidR="001904EB" w:rsidRDefault="001904EB" w:rsidP="00760A81">
            <w:pPr>
              <w:spacing w:line="276" w:lineRule="auto"/>
              <w:jc w:val="both"/>
              <w:rPr>
                <w:rFonts w:cstheme="minorHAnsi"/>
                <w:sz w:val="24"/>
                <w:szCs w:val="24"/>
                <w:lang w:val="en-GB"/>
              </w:rPr>
            </w:pPr>
            <w:r>
              <w:rPr>
                <w:rFonts w:cstheme="minorHAnsi"/>
                <w:sz w:val="24"/>
                <w:szCs w:val="24"/>
                <w:lang w:val="en-GB"/>
              </w:rPr>
              <w:t xml:space="preserve">Instruments, materials, cloth and </w:t>
            </w:r>
            <w:r w:rsidRPr="009F34D5">
              <w:rPr>
                <w:rFonts w:cstheme="minorHAnsi"/>
                <w:sz w:val="24"/>
                <w:szCs w:val="24"/>
                <w:lang w:val="en-GB"/>
              </w:rPr>
              <w:t>media</w:t>
            </w:r>
          </w:p>
        </w:tc>
        <w:tc>
          <w:tcPr>
            <w:tcW w:w="3073" w:type="dxa"/>
          </w:tcPr>
          <w:p w14:paraId="5ED98D8D" w14:textId="77777777" w:rsidR="001904EB" w:rsidRPr="00FD2FEF" w:rsidRDefault="001904EB" w:rsidP="00760A81">
            <w:pPr>
              <w:spacing w:line="276" w:lineRule="auto"/>
              <w:jc w:val="both"/>
              <w:rPr>
                <w:rFonts w:cstheme="minorHAnsi"/>
                <w:sz w:val="24"/>
                <w:szCs w:val="24"/>
                <w:lang w:val="en-GB"/>
              </w:rPr>
            </w:pPr>
            <w:r w:rsidRPr="00FD2FEF">
              <w:rPr>
                <w:rFonts w:cstheme="minorHAnsi"/>
                <w:sz w:val="24"/>
                <w:szCs w:val="24"/>
                <w:lang w:val="en-GB"/>
              </w:rPr>
              <w:t>terminal steam sterilisation at ≥121 °C for 15 min</w:t>
            </w:r>
            <w:r>
              <w:rPr>
                <w:rFonts w:cstheme="minorHAnsi"/>
                <w:sz w:val="24"/>
                <w:szCs w:val="24"/>
                <w:lang w:val="en-GB"/>
              </w:rPr>
              <w:t xml:space="preserve"> </w:t>
            </w:r>
          </w:p>
        </w:tc>
      </w:tr>
      <w:tr w:rsidR="001904EB" w14:paraId="7F3002D6" w14:textId="77777777" w:rsidTr="00760A81">
        <w:tc>
          <w:tcPr>
            <w:tcW w:w="2547" w:type="dxa"/>
          </w:tcPr>
          <w:p w14:paraId="4A3BDF5D" w14:textId="77777777" w:rsidR="001904EB" w:rsidRDefault="001904EB" w:rsidP="00760A81">
            <w:pPr>
              <w:spacing w:line="276" w:lineRule="auto"/>
              <w:jc w:val="both"/>
              <w:rPr>
                <w:rFonts w:cstheme="minorHAnsi"/>
                <w:sz w:val="24"/>
                <w:szCs w:val="24"/>
                <w:lang w:val="en-GB"/>
              </w:rPr>
            </w:pPr>
            <w:r>
              <w:rPr>
                <w:rFonts w:cstheme="minorHAnsi"/>
                <w:sz w:val="24"/>
                <w:szCs w:val="24"/>
                <w:lang w:val="en-GB"/>
              </w:rPr>
              <w:lastRenderedPageBreak/>
              <w:t>Dry Heat</w:t>
            </w:r>
          </w:p>
        </w:tc>
        <w:tc>
          <w:tcPr>
            <w:tcW w:w="4014" w:type="dxa"/>
          </w:tcPr>
          <w:p w14:paraId="75F4D4B7" w14:textId="77777777" w:rsidR="001904EB" w:rsidRPr="009F34D5" w:rsidRDefault="001904EB" w:rsidP="00760A81">
            <w:pPr>
              <w:spacing w:line="276" w:lineRule="auto"/>
              <w:jc w:val="both"/>
              <w:rPr>
                <w:rFonts w:cstheme="minorHAnsi"/>
                <w:sz w:val="24"/>
                <w:szCs w:val="24"/>
                <w:lang w:val="en-GB"/>
              </w:rPr>
            </w:pPr>
            <w:r>
              <w:rPr>
                <w:rFonts w:cstheme="minorHAnsi"/>
                <w:sz w:val="24"/>
                <w:szCs w:val="24"/>
                <w:lang w:val="en-GB"/>
              </w:rPr>
              <w:t>Glass and</w:t>
            </w:r>
            <w:r w:rsidRPr="00E14801">
              <w:rPr>
                <w:rFonts w:cstheme="minorHAnsi"/>
                <w:sz w:val="24"/>
                <w:szCs w:val="24"/>
                <w:lang w:val="en-GB"/>
              </w:rPr>
              <w:t xml:space="preserve"> metal </w:t>
            </w:r>
            <w:r>
              <w:rPr>
                <w:rFonts w:cstheme="minorHAnsi"/>
                <w:sz w:val="24"/>
                <w:szCs w:val="24"/>
                <w:lang w:val="en-GB"/>
              </w:rPr>
              <w:t>instruments/tools</w:t>
            </w:r>
          </w:p>
        </w:tc>
        <w:tc>
          <w:tcPr>
            <w:tcW w:w="3073" w:type="dxa"/>
          </w:tcPr>
          <w:p w14:paraId="4C9159D4" w14:textId="77777777" w:rsidR="001904EB" w:rsidRDefault="001904EB" w:rsidP="00760A81">
            <w:pPr>
              <w:spacing w:line="276" w:lineRule="auto"/>
              <w:jc w:val="both"/>
              <w:rPr>
                <w:rFonts w:cstheme="minorHAnsi"/>
                <w:sz w:val="24"/>
                <w:szCs w:val="24"/>
                <w:lang w:val="en-GB"/>
              </w:rPr>
            </w:pPr>
            <w:r w:rsidRPr="00FD2FEF">
              <w:rPr>
                <w:rFonts w:cstheme="minorHAnsi"/>
                <w:sz w:val="24"/>
                <w:szCs w:val="24"/>
                <w:lang w:val="en-GB"/>
              </w:rPr>
              <w:t>terminal dry heat sterilisation at ≥160 °C for ≥2 h</w:t>
            </w:r>
          </w:p>
        </w:tc>
      </w:tr>
      <w:tr w:rsidR="001904EB" w14:paraId="3275BA35" w14:textId="77777777" w:rsidTr="00760A81">
        <w:tc>
          <w:tcPr>
            <w:tcW w:w="2547" w:type="dxa"/>
          </w:tcPr>
          <w:p w14:paraId="6FE9D05D" w14:textId="77777777" w:rsidR="001904EB" w:rsidRDefault="001904EB" w:rsidP="00760A81">
            <w:pPr>
              <w:spacing w:line="276" w:lineRule="auto"/>
              <w:jc w:val="both"/>
              <w:rPr>
                <w:rFonts w:cstheme="minorHAnsi"/>
                <w:sz w:val="24"/>
                <w:szCs w:val="24"/>
                <w:lang w:val="en-GB"/>
              </w:rPr>
            </w:pPr>
            <w:r>
              <w:rPr>
                <w:rFonts w:cstheme="minorHAnsi"/>
                <w:sz w:val="24"/>
                <w:szCs w:val="24"/>
                <w:lang w:val="en-GB"/>
              </w:rPr>
              <w:t>Ionisation radiation (irradiation)</w:t>
            </w:r>
          </w:p>
        </w:tc>
        <w:tc>
          <w:tcPr>
            <w:tcW w:w="4014" w:type="dxa"/>
          </w:tcPr>
          <w:p w14:paraId="77EB6D1A" w14:textId="63FB7FB1" w:rsidR="001904EB" w:rsidRDefault="001904EB" w:rsidP="00760A81">
            <w:pPr>
              <w:spacing w:line="276" w:lineRule="auto"/>
              <w:jc w:val="both"/>
              <w:rPr>
                <w:rFonts w:cstheme="minorHAnsi"/>
                <w:sz w:val="24"/>
                <w:szCs w:val="24"/>
                <w:lang w:val="en-GB"/>
              </w:rPr>
            </w:pPr>
            <w:r>
              <w:rPr>
                <w:rFonts w:cstheme="minorHAnsi"/>
                <w:sz w:val="24"/>
                <w:szCs w:val="24"/>
                <w:lang w:val="en-GB"/>
              </w:rPr>
              <w:t>B</w:t>
            </w:r>
            <w:r w:rsidRPr="00211F5D">
              <w:rPr>
                <w:rFonts w:cstheme="minorHAnsi"/>
                <w:sz w:val="24"/>
                <w:szCs w:val="24"/>
                <w:lang w:val="en-GB"/>
              </w:rPr>
              <w:t>o</w:t>
            </w:r>
            <w:r>
              <w:rPr>
                <w:rFonts w:cstheme="minorHAnsi"/>
                <w:sz w:val="24"/>
                <w:szCs w:val="24"/>
                <w:lang w:val="en-GB"/>
              </w:rPr>
              <w:t xml:space="preserve">ne, skin, amniotic </w:t>
            </w:r>
            <w:r w:rsidRPr="00B653CD">
              <w:rPr>
                <w:rFonts w:cstheme="minorHAnsi"/>
                <w:sz w:val="24"/>
                <w:szCs w:val="24"/>
                <w:lang w:val="en-GB"/>
              </w:rPr>
              <w:t>membrane (</w:t>
            </w:r>
            <w:r w:rsidRPr="00E81151">
              <w:rPr>
                <w:rFonts w:cstheme="minorHAnsi"/>
                <w:sz w:val="24"/>
                <w:szCs w:val="24"/>
                <w:lang w:val="en-GB"/>
              </w:rPr>
              <w:t>1</w:t>
            </w:r>
            <w:r w:rsidR="00B653CD">
              <w:rPr>
                <w:rFonts w:cstheme="minorHAnsi"/>
                <w:sz w:val="24"/>
                <w:szCs w:val="24"/>
                <w:lang w:val="en-GB"/>
              </w:rPr>
              <w:t>)</w:t>
            </w:r>
            <w:r w:rsidRPr="00B653CD">
              <w:rPr>
                <w:rFonts w:cstheme="minorHAnsi"/>
                <w:sz w:val="24"/>
                <w:szCs w:val="24"/>
                <w:lang w:val="en-GB"/>
              </w:rPr>
              <w:t>,</w:t>
            </w:r>
            <w:r>
              <w:rPr>
                <w:rFonts w:cstheme="minorHAnsi"/>
                <w:sz w:val="24"/>
                <w:szCs w:val="24"/>
                <w:lang w:val="en-GB"/>
              </w:rPr>
              <w:t xml:space="preserve"> </w:t>
            </w:r>
            <w:r w:rsidR="00B653CD">
              <w:rPr>
                <w:rFonts w:cstheme="minorHAnsi"/>
                <w:sz w:val="24"/>
                <w:szCs w:val="24"/>
                <w:lang w:val="en-GB"/>
              </w:rPr>
              <w:t>(</w:t>
            </w:r>
            <w:r w:rsidR="00E81151">
              <w:rPr>
                <w:rFonts w:cstheme="minorHAnsi"/>
                <w:sz w:val="24"/>
                <w:szCs w:val="24"/>
                <w:lang w:val="en-GB"/>
              </w:rPr>
              <w:t xml:space="preserve">EDQM </w:t>
            </w:r>
            <w:r>
              <w:rPr>
                <w:rFonts w:cstheme="minorHAnsi"/>
                <w:sz w:val="24"/>
                <w:szCs w:val="24"/>
                <w:lang w:val="en-GB"/>
              </w:rPr>
              <w:t>T&amp;C Guide)</w:t>
            </w:r>
          </w:p>
          <w:p w14:paraId="1DC57F40" w14:textId="77777777" w:rsidR="001904EB" w:rsidRDefault="001904EB" w:rsidP="00760A81">
            <w:pPr>
              <w:spacing w:line="276" w:lineRule="auto"/>
              <w:jc w:val="both"/>
              <w:rPr>
                <w:rFonts w:cstheme="minorHAnsi"/>
                <w:sz w:val="24"/>
                <w:szCs w:val="24"/>
                <w:lang w:val="en-GB"/>
              </w:rPr>
            </w:pPr>
            <w:r>
              <w:rPr>
                <w:rFonts w:cstheme="minorHAnsi"/>
                <w:sz w:val="24"/>
                <w:szCs w:val="24"/>
                <w:lang w:val="en-GB"/>
              </w:rPr>
              <w:t>Containers, equipment and gowns</w:t>
            </w:r>
          </w:p>
        </w:tc>
        <w:tc>
          <w:tcPr>
            <w:tcW w:w="3073" w:type="dxa"/>
          </w:tcPr>
          <w:p w14:paraId="3CAF7704" w14:textId="77777777" w:rsidR="001904EB" w:rsidRDefault="001904EB" w:rsidP="00760A81">
            <w:pPr>
              <w:spacing w:line="276" w:lineRule="auto"/>
              <w:jc w:val="both"/>
              <w:rPr>
                <w:rFonts w:cstheme="minorHAnsi"/>
                <w:sz w:val="24"/>
                <w:szCs w:val="24"/>
                <w:lang w:val="en-GB"/>
              </w:rPr>
            </w:pPr>
            <w:r w:rsidRPr="00FD2FEF">
              <w:rPr>
                <w:rFonts w:cstheme="minorHAnsi"/>
                <w:sz w:val="24"/>
                <w:szCs w:val="24"/>
                <w:lang w:val="en-GB"/>
              </w:rPr>
              <w:t>terminal ionising radiation of absorbed dose ≥ 25 kGy</w:t>
            </w:r>
          </w:p>
        </w:tc>
      </w:tr>
      <w:tr w:rsidR="001904EB" w14:paraId="79CAF2B5" w14:textId="77777777" w:rsidTr="00760A81">
        <w:tc>
          <w:tcPr>
            <w:tcW w:w="2547" w:type="dxa"/>
          </w:tcPr>
          <w:p w14:paraId="6975505A" w14:textId="77777777" w:rsidR="001904EB" w:rsidRDefault="001904EB" w:rsidP="00760A81">
            <w:pPr>
              <w:spacing w:line="276" w:lineRule="auto"/>
              <w:jc w:val="both"/>
              <w:rPr>
                <w:rFonts w:cstheme="minorHAnsi"/>
                <w:sz w:val="24"/>
                <w:szCs w:val="24"/>
                <w:lang w:val="en-GB"/>
              </w:rPr>
            </w:pPr>
            <w:r>
              <w:rPr>
                <w:rFonts w:cstheme="minorHAnsi"/>
                <w:sz w:val="24"/>
                <w:szCs w:val="24"/>
                <w:lang w:val="en-GB"/>
              </w:rPr>
              <w:t>Gas (chemical agent) (2)</w:t>
            </w:r>
          </w:p>
          <w:p w14:paraId="54988960" w14:textId="77777777" w:rsidR="001904EB" w:rsidRDefault="001904EB" w:rsidP="00760A81">
            <w:pPr>
              <w:spacing w:line="276" w:lineRule="auto"/>
              <w:jc w:val="both"/>
              <w:rPr>
                <w:rFonts w:cstheme="minorHAnsi"/>
                <w:sz w:val="24"/>
                <w:szCs w:val="24"/>
                <w:lang w:val="en-GB"/>
              </w:rPr>
            </w:pPr>
          </w:p>
        </w:tc>
        <w:tc>
          <w:tcPr>
            <w:tcW w:w="4014" w:type="dxa"/>
          </w:tcPr>
          <w:p w14:paraId="7ADB0B4D" w14:textId="77777777" w:rsidR="001904EB" w:rsidRDefault="001904EB" w:rsidP="00760A81">
            <w:pPr>
              <w:spacing w:line="276" w:lineRule="auto"/>
              <w:jc w:val="both"/>
              <w:rPr>
                <w:rFonts w:cstheme="minorHAnsi"/>
                <w:sz w:val="24"/>
                <w:szCs w:val="24"/>
                <w:lang w:val="en-GB"/>
              </w:rPr>
            </w:pPr>
            <w:r>
              <w:rPr>
                <w:rFonts w:cstheme="minorHAnsi"/>
                <w:sz w:val="24"/>
                <w:szCs w:val="24"/>
                <w:lang w:val="en-GB"/>
              </w:rPr>
              <w:t>Containers and equipment</w:t>
            </w:r>
          </w:p>
        </w:tc>
        <w:tc>
          <w:tcPr>
            <w:tcW w:w="3073" w:type="dxa"/>
          </w:tcPr>
          <w:p w14:paraId="404D8A99" w14:textId="77777777" w:rsidR="001904EB" w:rsidRDefault="001904EB" w:rsidP="00760A81">
            <w:pPr>
              <w:spacing w:line="276" w:lineRule="auto"/>
              <w:jc w:val="both"/>
              <w:rPr>
                <w:rFonts w:cstheme="minorHAnsi"/>
                <w:sz w:val="24"/>
                <w:szCs w:val="24"/>
                <w:lang w:val="en-GB"/>
              </w:rPr>
            </w:pPr>
            <w:r>
              <w:rPr>
                <w:rFonts w:cstheme="minorHAnsi"/>
                <w:sz w:val="24"/>
                <w:szCs w:val="24"/>
              </w:rPr>
              <w:t xml:space="preserve">depends on chemical, no general conditions predefined </w:t>
            </w:r>
          </w:p>
        </w:tc>
      </w:tr>
      <w:tr w:rsidR="001904EB" w14:paraId="48DF595A" w14:textId="77777777" w:rsidTr="00760A81">
        <w:tc>
          <w:tcPr>
            <w:tcW w:w="2547" w:type="dxa"/>
          </w:tcPr>
          <w:p w14:paraId="79CE15DE" w14:textId="77777777" w:rsidR="001904EB" w:rsidRDefault="001904EB" w:rsidP="00760A81">
            <w:pPr>
              <w:spacing w:line="276" w:lineRule="auto"/>
              <w:jc w:val="both"/>
              <w:rPr>
                <w:rFonts w:cstheme="minorHAnsi"/>
                <w:sz w:val="24"/>
                <w:szCs w:val="24"/>
                <w:lang w:val="en-GB"/>
              </w:rPr>
            </w:pPr>
            <w:r>
              <w:rPr>
                <w:rFonts w:cstheme="minorHAnsi"/>
                <w:sz w:val="24"/>
                <w:szCs w:val="24"/>
                <w:lang w:val="en-GB"/>
              </w:rPr>
              <w:t>Membrane filtration</w:t>
            </w:r>
          </w:p>
        </w:tc>
        <w:tc>
          <w:tcPr>
            <w:tcW w:w="4014" w:type="dxa"/>
          </w:tcPr>
          <w:p w14:paraId="7229D943" w14:textId="77777777" w:rsidR="001904EB" w:rsidRDefault="001904EB" w:rsidP="00760A81">
            <w:pPr>
              <w:spacing w:line="276" w:lineRule="auto"/>
              <w:jc w:val="both"/>
              <w:rPr>
                <w:rFonts w:cstheme="minorHAnsi"/>
                <w:sz w:val="24"/>
                <w:szCs w:val="24"/>
                <w:lang w:val="en-GB"/>
              </w:rPr>
            </w:pPr>
            <w:r>
              <w:rPr>
                <w:rFonts w:cstheme="minorHAnsi"/>
                <w:sz w:val="24"/>
                <w:szCs w:val="24"/>
                <w:lang w:val="en-GB"/>
              </w:rPr>
              <w:t>Fluid or gas products that are not amenable to other sterilisation methods</w:t>
            </w:r>
          </w:p>
        </w:tc>
        <w:tc>
          <w:tcPr>
            <w:tcW w:w="3073" w:type="dxa"/>
          </w:tcPr>
          <w:p w14:paraId="4A80C3AB" w14:textId="77777777" w:rsidR="001904EB" w:rsidRDefault="001904EB" w:rsidP="00760A81">
            <w:pPr>
              <w:spacing w:line="276" w:lineRule="auto"/>
              <w:jc w:val="both"/>
              <w:rPr>
                <w:rFonts w:cstheme="minorHAnsi"/>
                <w:sz w:val="24"/>
                <w:szCs w:val="24"/>
                <w:lang w:val="en-GB"/>
              </w:rPr>
            </w:pPr>
            <w:r>
              <w:rPr>
                <w:rFonts w:cstheme="minorHAnsi"/>
                <w:sz w:val="24"/>
                <w:szCs w:val="24"/>
                <w:lang w:val="en-GB"/>
              </w:rPr>
              <w:t>nominal pore size ≤ 0.22 µm</w:t>
            </w:r>
          </w:p>
        </w:tc>
      </w:tr>
    </w:tbl>
    <w:p w14:paraId="3B73B08E" w14:textId="77777777" w:rsidR="001904EB" w:rsidRDefault="001904EB" w:rsidP="009A297D">
      <w:pPr>
        <w:pStyle w:val="ListParagraph"/>
        <w:numPr>
          <w:ilvl w:val="0"/>
          <w:numId w:val="6"/>
        </w:numPr>
        <w:spacing w:after="0"/>
        <w:jc w:val="both"/>
        <w:rPr>
          <w:rFonts w:cstheme="minorHAnsi"/>
          <w:sz w:val="24"/>
          <w:szCs w:val="24"/>
          <w:lang w:val="en-GB"/>
        </w:rPr>
      </w:pPr>
      <w:r w:rsidRPr="004B1218">
        <w:rPr>
          <w:rFonts w:cstheme="minorHAnsi"/>
          <w:sz w:val="24"/>
          <w:szCs w:val="24"/>
          <w:lang w:val="en-GB"/>
        </w:rPr>
        <w:t>Radiation sterilization of tissue allografts: A review</w:t>
      </w:r>
      <w:r>
        <w:rPr>
          <w:rFonts w:cstheme="minorHAnsi"/>
          <w:sz w:val="24"/>
          <w:szCs w:val="24"/>
          <w:lang w:val="en-GB"/>
        </w:rPr>
        <w:t xml:space="preserve">; </w:t>
      </w:r>
      <w:r w:rsidRPr="004B1218">
        <w:rPr>
          <w:rFonts w:cstheme="minorHAnsi"/>
          <w:sz w:val="24"/>
          <w:szCs w:val="24"/>
          <w:lang w:val="en-GB"/>
        </w:rPr>
        <w:t>Rita Singh, Durgeshwer Singh, and Antaryami Singh</w:t>
      </w:r>
      <w:r>
        <w:rPr>
          <w:rFonts w:cstheme="minorHAnsi"/>
          <w:sz w:val="24"/>
          <w:szCs w:val="24"/>
          <w:lang w:val="en-GB"/>
        </w:rPr>
        <w:t xml:space="preserve">; </w:t>
      </w:r>
      <w:r w:rsidRPr="004B1218">
        <w:rPr>
          <w:rFonts w:cstheme="minorHAnsi"/>
          <w:sz w:val="24"/>
          <w:szCs w:val="24"/>
          <w:lang w:val="en-GB"/>
        </w:rPr>
        <w:t>World J Radiol. 2016 Apr 28; 8(4): 355–369.</w:t>
      </w:r>
    </w:p>
    <w:p w14:paraId="60490FC6" w14:textId="69E4F8EA" w:rsidR="001904EB" w:rsidRPr="008F7575" w:rsidRDefault="001904EB" w:rsidP="009A297D">
      <w:pPr>
        <w:pStyle w:val="ListParagraph"/>
        <w:numPr>
          <w:ilvl w:val="0"/>
          <w:numId w:val="6"/>
        </w:numPr>
        <w:spacing w:after="0"/>
        <w:jc w:val="both"/>
        <w:rPr>
          <w:rFonts w:cstheme="minorHAnsi"/>
          <w:sz w:val="24"/>
          <w:szCs w:val="24"/>
          <w:lang w:val="en-GB"/>
        </w:rPr>
      </w:pPr>
      <w:r>
        <w:rPr>
          <w:rFonts w:cstheme="minorHAnsi"/>
          <w:sz w:val="24"/>
          <w:szCs w:val="24"/>
          <w:lang w:val="en-GB"/>
        </w:rPr>
        <w:t>Acceptable only if no other sterilisation methods are feasible</w:t>
      </w:r>
      <w:r w:rsidR="00782DE8">
        <w:rPr>
          <w:rFonts w:cstheme="minorHAnsi"/>
          <w:sz w:val="24"/>
          <w:szCs w:val="24"/>
          <w:lang w:val="en-GB"/>
        </w:rPr>
        <w:t xml:space="preserve"> (EMA/CHMP/CVMP/QWP/850374/2015)</w:t>
      </w:r>
      <w:r>
        <w:rPr>
          <w:rFonts w:cstheme="minorHAnsi"/>
          <w:sz w:val="24"/>
          <w:szCs w:val="24"/>
          <w:lang w:val="en-GB"/>
        </w:rPr>
        <w:t>.</w:t>
      </w:r>
      <w:r w:rsidR="00436DDC">
        <w:rPr>
          <w:rFonts w:cstheme="minorHAnsi"/>
          <w:sz w:val="24"/>
          <w:szCs w:val="24"/>
          <w:lang w:val="en-GB"/>
        </w:rPr>
        <w:t xml:space="preserve"> </w:t>
      </w:r>
    </w:p>
    <w:p w14:paraId="6DEF171D" w14:textId="77777777" w:rsidR="001904EB" w:rsidRPr="00E14801" w:rsidRDefault="001904EB" w:rsidP="001904EB">
      <w:pPr>
        <w:spacing w:after="0"/>
        <w:jc w:val="both"/>
        <w:rPr>
          <w:rFonts w:cstheme="minorHAnsi"/>
          <w:sz w:val="24"/>
          <w:szCs w:val="24"/>
          <w:lang w:val="en-GB"/>
        </w:rPr>
      </w:pPr>
    </w:p>
    <w:p w14:paraId="2C4EC171" w14:textId="77777777" w:rsidR="001904EB" w:rsidRDefault="001904EB" w:rsidP="001904EB">
      <w:pPr>
        <w:spacing w:after="0"/>
        <w:jc w:val="both"/>
        <w:rPr>
          <w:rFonts w:cstheme="minorHAnsi"/>
          <w:sz w:val="24"/>
          <w:szCs w:val="24"/>
          <w:lang w:val="en-GB"/>
        </w:rPr>
      </w:pPr>
    </w:p>
    <w:p w14:paraId="645FCD03" w14:textId="77777777" w:rsidR="001904EB" w:rsidRPr="00E14801" w:rsidRDefault="001904EB" w:rsidP="001904EB">
      <w:pPr>
        <w:spacing w:after="0"/>
        <w:rPr>
          <w:rFonts w:cstheme="minorHAnsi"/>
          <w:sz w:val="24"/>
          <w:szCs w:val="24"/>
        </w:rPr>
      </w:pPr>
    </w:p>
    <w:p w14:paraId="4A48D870" w14:textId="0231B684" w:rsidR="001904EB" w:rsidRPr="008673F6" w:rsidRDefault="001904EB" w:rsidP="009A297D">
      <w:pPr>
        <w:pStyle w:val="Heading2"/>
        <w:numPr>
          <w:ilvl w:val="1"/>
          <w:numId w:val="17"/>
        </w:numPr>
      </w:pPr>
      <w:bookmarkStart w:id="32" w:name="_Toc41427167"/>
      <w:r w:rsidRPr="00B01CD5">
        <w:t>General validation requirements</w:t>
      </w:r>
      <w:r>
        <w:t xml:space="preserve"> for sterilisation</w:t>
      </w:r>
      <w:bookmarkEnd w:id="32"/>
    </w:p>
    <w:p w14:paraId="67A40D30" w14:textId="3207D2D0" w:rsidR="001904EB" w:rsidRPr="00E14801" w:rsidRDefault="001904EB" w:rsidP="001904EB">
      <w:pPr>
        <w:spacing w:after="0"/>
        <w:jc w:val="both"/>
        <w:rPr>
          <w:rFonts w:cstheme="minorHAnsi"/>
          <w:sz w:val="24"/>
          <w:szCs w:val="24"/>
          <w:lang w:val="en-GB"/>
        </w:rPr>
      </w:pPr>
      <w:r>
        <w:rPr>
          <w:rFonts w:cstheme="minorHAnsi"/>
          <w:sz w:val="24"/>
          <w:szCs w:val="24"/>
          <w:lang w:val="en-GB"/>
        </w:rPr>
        <w:t xml:space="preserve">Validation must be performed </w:t>
      </w:r>
      <w:r w:rsidRPr="00E14801">
        <w:rPr>
          <w:rFonts w:cstheme="minorHAnsi"/>
          <w:sz w:val="24"/>
          <w:szCs w:val="24"/>
          <w:lang w:val="en-GB"/>
        </w:rPr>
        <w:t xml:space="preserve">in order to demonstrate consistent </w:t>
      </w:r>
      <w:r>
        <w:rPr>
          <w:rFonts w:cstheme="minorHAnsi"/>
          <w:sz w:val="24"/>
          <w:szCs w:val="24"/>
          <w:lang w:val="en-GB"/>
        </w:rPr>
        <w:t xml:space="preserve">efficacy of method chosen and </w:t>
      </w:r>
      <w:r w:rsidRPr="00E14801">
        <w:rPr>
          <w:rFonts w:cstheme="minorHAnsi"/>
          <w:sz w:val="24"/>
          <w:szCs w:val="24"/>
          <w:lang w:val="en-GB"/>
        </w:rPr>
        <w:t xml:space="preserve">assurance of sterility. </w:t>
      </w:r>
      <w:r w:rsidRPr="001C77EA">
        <w:rPr>
          <w:rFonts w:cstheme="minorHAnsi"/>
          <w:sz w:val="24"/>
          <w:szCs w:val="24"/>
          <w:lang w:val="en-GB"/>
        </w:rPr>
        <w:t>Whenever a sterilisation step is introduced</w:t>
      </w:r>
      <w:r>
        <w:rPr>
          <w:rFonts w:cstheme="minorHAnsi"/>
          <w:sz w:val="24"/>
          <w:szCs w:val="24"/>
          <w:lang w:val="en-GB"/>
        </w:rPr>
        <w:t>,</w:t>
      </w:r>
      <w:r w:rsidRPr="001C77EA">
        <w:rPr>
          <w:rFonts w:cstheme="minorHAnsi"/>
          <w:sz w:val="24"/>
          <w:szCs w:val="24"/>
          <w:lang w:val="en-GB"/>
        </w:rPr>
        <w:t xml:space="preserve"> the following </w:t>
      </w:r>
      <w:r>
        <w:rPr>
          <w:rFonts w:cstheme="minorHAnsi"/>
          <w:sz w:val="24"/>
          <w:szCs w:val="24"/>
          <w:lang w:val="en-GB"/>
        </w:rPr>
        <w:t xml:space="preserve">general </w:t>
      </w:r>
      <w:r w:rsidRPr="001C77EA">
        <w:rPr>
          <w:rFonts w:cstheme="minorHAnsi"/>
          <w:sz w:val="24"/>
          <w:szCs w:val="24"/>
          <w:lang w:val="en-GB"/>
        </w:rPr>
        <w:t>validation</w:t>
      </w:r>
      <w:r>
        <w:rPr>
          <w:rFonts w:cstheme="minorHAnsi"/>
          <w:sz w:val="24"/>
          <w:szCs w:val="24"/>
          <w:lang w:val="en-GB"/>
        </w:rPr>
        <w:t xml:space="preserve"> requirements need to be </w:t>
      </w:r>
      <w:r w:rsidRPr="00D81324">
        <w:rPr>
          <w:rFonts w:cstheme="minorHAnsi"/>
          <w:sz w:val="24"/>
          <w:szCs w:val="24"/>
          <w:lang w:val="en-GB"/>
        </w:rPr>
        <w:t>addressed (Ph</w:t>
      </w:r>
      <w:r w:rsidR="00E81151">
        <w:rPr>
          <w:rFonts w:cstheme="minorHAnsi"/>
          <w:sz w:val="24"/>
          <w:szCs w:val="24"/>
          <w:lang w:val="en-GB"/>
        </w:rPr>
        <w:t>.</w:t>
      </w:r>
      <w:r w:rsidRPr="00D81324">
        <w:rPr>
          <w:rFonts w:cstheme="minorHAnsi"/>
          <w:sz w:val="24"/>
          <w:szCs w:val="24"/>
          <w:lang w:val="en-GB"/>
        </w:rPr>
        <w:t xml:space="preserve"> Eur</w:t>
      </w:r>
      <w:r w:rsidR="00E81151">
        <w:rPr>
          <w:rFonts w:cstheme="minorHAnsi"/>
          <w:sz w:val="24"/>
          <w:szCs w:val="24"/>
          <w:lang w:val="en-GB"/>
        </w:rPr>
        <w:t>.</w:t>
      </w:r>
      <w:r w:rsidRPr="00D81324">
        <w:rPr>
          <w:rFonts w:cstheme="minorHAnsi"/>
          <w:sz w:val="24"/>
          <w:szCs w:val="24"/>
          <w:lang w:val="en-GB"/>
        </w:rPr>
        <w:t xml:space="preserve"> 5.1.1; JPAC 21.5.3)</w:t>
      </w:r>
      <w:r>
        <w:rPr>
          <w:rFonts w:cstheme="minorHAnsi"/>
          <w:sz w:val="24"/>
          <w:szCs w:val="24"/>
          <w:lang w:val="en-GB"/>
        </w:rPr>
        <w:t>.</w:t>
      </w:r>
    </w:p>
    <w:p w14:paraId="1B9AD5BD" w14:textId="77777777" w:rsidR="001904EB" w:rsidRPr="00E14801" w:rsidRDefault="001904EB" w:rsidP="001904EB">
      <w:pPr>
        <w:spacing w:after="0"/>
        <w:jc w:val="both"/>
        <w:rPr>
          <w:rFonts w:cstheme="minorHAnsi"/>
          <w:b/>
          <w:sz w:val="24"/>
          <w:szCs w:val="24"/>
          <w:lang w:val="en-GB"/>
        </w:rPr>
      </w:pPr>
    </w:p>
    <w:p w14:paraId="1E066B56" w14:textId="05D67E8F" w:rsidR="001904EB" w:rsidRPr="00074A23" w:rsidRDefault="007F260C" w:rsidP="007F260C">
      <w:pPr>
        <w:pStyle w:val="Heading3"/>
      </w:pPr>
      <w:bookmarkStart w:id="33" w:name="_Toc41427168"/>
      <w:r w:rsidRPr="00074A23">
        <w:t xml:space="preserve">5.3.1. </w:t>
      </w:r>
      <w:r w:rsidR="001904EB" w:rsidRPr="00074A23">
        <w:t>Sterility Assurance Level (SAL)</w:t>
      </w:r>
      <w:bookmarkEnd w:id="33"/>
      <w:r w:rsidR="001904EB" w:rsidRPr="00074A23">
        <w:t xml:space="preserve"> </w:t>
      </w:r>
    </w:p>
    <w:p w14:paraId="77507424" w14:textId="26B8E45D" w:rsidR="001904EB" w:rsidRDefault="001904EB" w:rsidP="001904EB">
      <w:pPr>
        <w:spacing w:after="0"/>
        <w:jc w:val="both"/>
        <w:rPr>
          <w:rFonts w:cstheme="minorHAnsi"/>
          <w:sz w:val="24"/>
          <w:szCs w:val="24"/>
          <w:lang w:val="en-GB"/>
        </w:rPr>
      </w:pPr>
      <w:r w:rsidRPr="00E14801">
        <w:rPr>
          <w:rFonts w:cstheme="minorHAnsi"/>
          <w:sz w:val="24"/>
          <w:szCs w:val="24"/>
          <w:lang w:val="en-GB"/>
        </w:rPr>
        <w:t>For sterilisation processes with a well-defined dose/kill relationship, a very high level of sterility assurance can be achieved</w:t>
      </w:r>
      <w:r>
        <w:rPr>
          <w:rFonts w:cstheme="minorHAnsi"/>
          <w:sz w:val="24"/>
          <w:szCs w:val="24"/>
          <w:lang w:val="en-GB"/>
        </w:rPr>
        <w:t xml:space="preserve"> </w:t>
      </w:r>
      <w:r w:rsidRPr="00C037CA">
        <w:rPr>
          <w:rFonts w:cstheme="minorHAnsi"/>
          <w:sz w:val="24"/>
          <w:szCs w:val="24"/>
          <w:lang w:val="en-GB"/>
        </w:rPr>
        <w:t>(</w:t>
      </w:r>
      <w:r w:rsidR="00E81151">
        <w:rPr>
          <w:rFonts w:cstheme="minorHAnsi"/>
          <w:sz w:val="24"/>
          <w:szCs w:val="24"/>
          <w:lang w:val="en-GB"/>
        </w:rPr>
        <w:t>EDQM T&amp;C G</w:t>
      </w:r>
      <w:r w:rsidRPr="00C037CA">
        <w:rPr>
          <w:rFonts w:cstheme="minorHAnsi"/>
          <w:sz w:val="24"/>
          <w:szCs w:val="24"/>
          <w:lang w:val="en-GB"/>
        </w:rPr>
        <w:t>uide 8.6.1)</w:t>
      </w:r>
      <w:r w:rsidRPr="00E14801">
        <w:rPr>
          <w:rFonts w:cstheme="minorHAnsi"/>
          <w:sz w:val="24"/>
          <w:szCs w:val="24"/>
          <w:lang w:val="en-GB"/>
        </w:rPr>
        <w:t>. This is quantified by the SAL value which is an experimentally-derived number expressing the likelihood of a contaminant to survive the process. In order to determine the SAL</w:t>
      </w:r>
      <w:r>
        <w:rPr>
          <w:rFonts w:cstheme="minorHAnsi"/>
          <w:sz w:val="24"/>
          <w:szCs w:val="24"/>
          <w:lang w:val="en-GB"/>
        </w:rPr>
        <w:t>,</w:t>
      </w:r>
      <w:r w:rsidRPr="00E14801">
        <w:rPr>
          <w:rFonts w:cstheme="minorHAnsi"/>
          <w:sz w:val="24"/>
          <w:szCs w:val="24"/>
          <w:lang w:val="en-GB"/>
        </w:rPr>
        <w:t xml:space="preserve"> the bioburden of the respective matrix must be known. Frequently, sterilisation processes are validated to assure the SAL ≤ 10</w:t>
      </w:r>
      <w:r w:rsidRPr="00E14801">
        <w:rPr>
          <w:rFonts w:cstheme="minorHAnsi"/>
          <w:sz w:val="24"/>
          <w:szCs w:val="24"/>
          <w:vertAlign w:val="superscript"/>
          <w:lang w:val="en-GB"/>
        </w:rPr>
        <w:t>-6</w:t>
      </w:r>
      <w:r w:rsidRPr="00E14801">
        <w:rPr>
          <w:rFonts w:cstheme="minorHAnsi"/>
          <w:sz w:val="24"/>
          <w:szCs w:val="24"/>
          <w:lang w:val="en-GB"/>
        </w:rPr>
        <w:t xml:space="preserve"> for </w:t>
      </w:r>
      <w:r>
        <w:rPr>
          <w:rFonts w:cstheme="minorHAnsi"/>
          <w:sz w:val="24"/>
          <w:szCs w:val="24"/>
          <w:lang w:val="en-GB"/>
        </w:rPr>
        <w:t xml:space="preserve">sterile </w:t>
      </w:r>
      <w:r w:rsidRPr="00E14801">
        <w:rPr>
          <w:rFonts w:cstheme="minorHAnsi"/>
          <w:sz w:val="24"/>
          <w:szCs w:val="24"/>
          <w:lang w:val="en-GB"/>
        </w:rPr>
        <w:t xml:space="preserve">products or </w:t>
      </w:r>
      <w:r>
        <w:rPr>
          <w:rFonts w:cstheme="minorHAnsi"/>
          <w:sz w:val="24"/>
          <w:szCs w:val="24"/>
          <w:lang w:val="en-GB"/>
        </w:rPr>
        <w:t>equipment.</w:t>
      </w:r>
      <w:r w:rsidRPr="00E14801">
        <w:rPr>
          <w:rFonts w:cstheme="minorHAnsi"/>
          <w:sz w:val="24"/>
          <w:szCs w:val="24"/>
          <w:lang w:val="en-GB"/>
        </w:rPr>
        <w:t xml:space="preserve"> </w:t>
      </w:r>
      <w:r w:rsidR="0073671E">
        <w:rPr>
          <w:rFonts w:cstheme="minorHAnsi"/>
          <w:sz w:val="24"/>
          <w:szCs w:val="24"/>
          <w:lang w:val="en-GB"/>
        </w:rPr>
        <w:t xml:space="preserve">For validation of sterilisation technique, </w:t>
      </w:r>
      <w:r>
        <w:rPr>
          <w:rFonts w:cstheme="minorHAnsi"/>
          <w:sz w:val="24"/>
          <w:szCs w:val="24"/>
          <w:lang w:val="en-GB"/>
        </w:rPr>
        <w:t>SAL</w:t>
      </w:r>
      <w:r w:rsidR="0073671E">
        <w:rPr>
          <w:rFonts w:cstheme="minorHAnsi"/>
          <w:sz w:val="24"/>
          <w:szCs w:val="24"/>
          <w:lang w:val="en-GB"/>
        </w:rPr>
        <w:t xml:space="preserve"> of</w:t>
      </w:r>
      <w:r>
        <w:rPr>
          <w:rFonts w:cstheme="minorHAnsi"/>
          <w:sz w:val="24"/>
          <w:szCs w:val="24"/>
          <w:lang w:val="en-GB"/>
        </w:rPr>
        <w:t xml:space="preserve"> </w:t>
      </w:r>
      <w:r w:rsidRPr="00E14801">
        <w:rPr>
          <w:rFonts w:cstheme="minorHAnsi"/>
          <w:sz w:val="24"/>
          <w:szCs w:val="24"/>
          <w:lang w:val="en-GB"/>
        </w:rPr>
        <w:t>10</w:t>
      </w:r>
      <w:r w:rsidRPr="00E14801">
        <w:rPr>
          <w:rFonts w:cstheme="minorHAnsi"/>
          <w:sz w:val="24"/>
          <w:szCs w:val="24"/>
          <w:vertAlign w:val="superscript"/>
          <w:lang w:val="en-GB"/>
        </w:rPr>
        <w:t>-6</w:t>
      </w:r>
      <w:r w:rsidRPr="00E14801">
        <w:rPr>
          <w:rFonts w:cstheme="minorHAnsi"/>
          <w:sz w:val="24"/>
          <w:szCs w:val="24"/>
          <w:lang w:val="en-GB"/>
        </w:rPr>
        <w:t xml:space="preserve"> </w:t>
      </w:r>
      <w:r w:rsidR="004146EC">
        <w:rPr>
          <w:rFonts w:cstheme="minorHAnsi"/>
          <w:sz w:val="24"/>
          <w:szCs w:val="24"/>
          <w:lang w:val="en-GB"/>
        </w:rPr>
        <w:t xml:space="preserve">should be achieved </w:t>
      </w:r>
      <w:r w:rsidRPr="00E14801">
        <w:rPr>
          <w:rFonts w:cstheme="minorHAnsi"/>
          <w:sz w:val="24"/>
          <w:szCs w:val="24"/>
          <w:lang w:val="en-GB"/>
        </w:rPr>
        <w:t xml:space="preserve">for </w:t>
      </w:r>
      <w:r>
        <w:rPr>
          <w:rFonts w:cstheme="minorHAnsi"/>
          <w:sz w:val="24"/>
          <w:szCs w:val="24"/>
          <w:lang w:val="en-GB"/>
        </w:rPr>
        <w:t xml:space="preserve">the most resistant micro-organism </w:t>
      </w:r>
      <w:r w:rsidR="004146EC">
        <w:rPr>
          <w:rFonts w:cstheme="minorHAnsi"/>
          <w:sz w:val="24"/>
          <w:szCs w:val="24"/>
          <w:lang w:val="en-GB"/>
        </w:rPr>
        <w:t>(often bacterial spores). This is a “worst-case” validation and</w:t>
      </w:r>
      <w:r w:rsidR="0073671E">
        <w:rPr>
          <w:rFonts w:cstheme="minorHAnsi"/>
          <w:sz w:val="24"/>
          <w:szCs w:val="24"/>
          <w:lang w:val="en-GB"/>
        </w:rPr>
        <w:t xml:space="preserve"> </w:t>
      </w:r>
      <w:r>
        <w:rPr>
          <w:rFonts w:cstheme="minorHAnsi"/>
          <w:sz w:val="24"/>
          <w:szCs w:val="24"/>
          <w:lang w:val="en-GB"/>
        </w:rPr>
        <w:t xml:space="preserve">will guarantee a significant overkill for more sensitive microbes. </w:t>
      </w:r>
      <w:r w:rsidRPr="00E14801">
        <w:rPr>
          <w:rFonts w:cstheme="minorHAnsi"/>
          <w:sz w:val="24"/>
          <w:szCs w:val="24"/>
          <w:lang w:val="en-GB"/>
        </w:rPr>
        <w:t>SAL means that the likelihood of non-steril</w:t>
      </w:r>
      <w:r>
        <w:rPr>
          <w:rFonts w:cstheme="minorHAnsi"/>
          <w:sz w:val="24"/>
          <w:szCs w:val="24"/>
          <w:lang w:val="en-GB"/>
        </w:rPr>
        <w:t>e item is 1 in 1 million. T</w:t>
      </w:r>
      <w:r w:rsidRPr="00E14801">
        <w:rPr>
          <w:rFonts w:cstheme="minorHAnsi"/>
          <w:sz w:val="24"/>
          <w:szCs w:val="24"/>
          <w:lang w:val="en-GB"/>
        </w:rPr>
        <w:t>he SAL</w:t>
      </w:r>
      <w:r>
        <w:rPr>
          <w:rFonts w:cstheme="minorHAnsi"/>
          <w:sz w:val="24"/>
          <w:szCs w:val="24"/>
          <w:lang w:val="en-GB"/>
        </w:rPr>
        <w:t xml:space="preserve"> 10 </w:t>
      </w:r>
      <w:r w:rsidRPr="003B305D">
        <w:rPr>
          <w:rFonts w:cstheme="minorHAnsi"/>
          <w:sz w:val="24"/>
          <w:szCs w:val="24"/>
          <w:vertAlign w:val="superscript"/>
          <w:lang w:val="en-GB"/>
        </w:rPr>
        <w:t>-6</w:t>
      </w:r>
      <w:r w:rsidRPr="00E14801">
        <w:rPr>
          <w:rFonts w:cstheme="minorHAnsi"/>
          <w:sz w:val="24"/>
          <w:szCs w:val="24"/>
          <w:lang w:val="en-GB"/>
        </w:rPr>
        <w:t xml:space="preserve"> cannot be </w:t>
      </w:r>
      <w:r>
        <w:rPr>
          <w:rFonts w:cstheme="minorHAnsi"/>
          <w:sz w:val="24"/>
          <w:szCs w:val="24"/>
          <w:lang w:val="en-GB"/>
        </w:rPr>
        <w:t xml:space="preserve">applied </w:t>
      </w:r>
      <w:r w:rsidRPr="00E14801">
        <w:rPr>
          <w:rFonts w:cstheme="minorHAnsi"/>
          <w:sz w:val="24"/>
          <w:szCs w:val="24"/>
          <w:lang w:val="en-GB"/>
        </w:rPr>
        <w:t xml:space="preserve">to </w:t>
      </w:r>
      <w:r>
        <w:rPr>
          <w:rFonts w:cstheme="minorHAnsi"/>
          <w:sz w:val="24"/>
          <w:szCs w:val="24"/>
          <w:lang w:val="en-GB"/>
        </w:rPr>
        <w:t xml:space="preserve">membrane filtration method or to </w:t>
      </w:r>
      <w:r w:rsidRPr="00E14801">
        <w:rPr>
          <w:rFonts w:cstheme="minorHAnsi"/>
          <w:sz w:val="24"/>
          <w:szCs w:val="24"/>
          <w:lang w:val="en-GB"/>
        </w:rPr>
        <w:t>quantify the efficacy of virus inactivation</w:t>
      </w:r>
      <w:r>
        <w:rPr>
          <w:rFonts w:cstheme="minorHAnsi"/>
          <w:sz w:val="24"/>
          <w:szCs w:val="24"/>
          <w:lang w:val="en-GB"/>
        </w:rPr>
        <w:t>/removal</w:t>
      </w:r>
      <w:r w:rsidRPr="00D81324">
        <w:rPr>
          <w:rFonts w:cstheme="minorHAnsi"/>
          <w:sz w:val="24"/>
          <w:szCs w:val="24"/>
          <w:lang w:val="en-GB"/>
        </w:rPr>
        <w:t>. (</w:t>
      </w:r>
      <w:r w:rsidR="00E81151">
        <w:rPr>
          <w:rFonts w:cstheme="minorHAnsi"/>
          <w:sz w:val="24"/>
          <w:szCs w:val="24"/>
          <w:lang w:val="en-GB"/>
        </w:rPr>
        <w:t>EDQM T&amp;C G</w:t>
      </w:r>
      <w:r w:rsidRPr="00D81324">
        <w:rPr>
          <w:rFonts w:cstheme="minorHAnsi"/>
          <w:sz w:val="24"/>
          <w:szCs w:val="24"/>
          <w:lang w:val="en-GB"/>
        </w:rPr>
        <w:t>uide 2.16.9, Process validation; Ph. Eur 5.1.1</w:t>
      </w:r>
      <w:r>
        <w:rPr>
          <w:rFonts w:cstheme="minorHAnsi"/>
          <w:sz w:val="24"/>
          <w:szCs w:val="24"/>
          <w:lang w:val="en-GB"/>
        </w:rPr>
        <w:t xml:space="preserve">; JPAC 21.5.3; </w:t>
      </w:r>
      <w:r w:rsidR="00E81151">
        <w:rPr>
          <w:rFonts w:cstheme="minorHAnsi"/>
          <w:sz w:val="24"/>
          <w:szCs w:val="24"/>
          <w:lang w:val="en-GB"/>
        </w:rPr>
        <w:t>EDQM T&amp;C G</w:t>
      </w:r>
      <w:r>
        <w:rPr>
          <w:rFonts w:cstheme="minorHAnsi"/>
          <w:sz w:val="24"/>
          <w:szCs w:val="24"/>
          <w:lang w:val="en-GB"/>
        </w:rPr>
        <w:t>uide 8.6.1.2; 10.3.6</w:t>
      </w:r>
      <w:r w:rsidRPr="00D81324">
        <w:rPr>
          <w:rFonts w:cstheme="minorHAnsi"/>
          <w:sz w:val="24"/>
          <w:szCs w:val="24"/>
          <w:lang w:val="en-GB"/>
        </w:rPr>
        <w:t>).</w:t>
      </w:r>
    </w:p>
    <w:p w14:paraId="4B6B22B7" w14:textId="77777777" w:rsidR="001904EB" w:rsidRPr="008C1F94" w:rsidRDefault="001904EB" w:rsidP="001904EB">
      <w:pPr>
        <w:spacing w:after="0"/>
        <w:jc w:val="both"/>
        <w:rPr>
          <w:rFonts w:cstheme="minorHAnsi"/>
          <w:sz w:val="24"/>
          <w:szCs w:val="24"/>
        </w:rPr>
      </w:pPr>
    </w:p>
    <w:p w14:paraId="681F93CE" w14:textId="42D98D5F" w:rsidR="001904EB" w:rsidRPr="00074A23" w:rsidRDefault="007F260C" w:rsidP="007F260C">
      <w:pPr>
        <w:pStyle w:val="Heading3"/>
      </w:pPr>
      <w:bookmarkStart w:id="34" w:name="_Toc41427169"/>
      <w:r w:rsidRPr="00074A23">
        <w:lastRenderedPageBreak/>
        <w:t xml:space="preserve">5.3.2. </w:t>
      </w:r>
      <w:r w:rsidR="00CB3747" w:rsidRPr="00074A23">
        <w:t>Biological indicators</w:t>
      </w:r>
      <w:bookmarkEnd w:id="34"/>
    </w:p>
    <w:p w14:paraId="1E763110" w14:textId="0B681EAE" w:rsidR="001904EB" w:rsidRDefault="001904EB" w:rsidP="001904EB">
      <w:pPr>
        <w:spacing w:after="0"/>
        <w:jc w:val="both"/>
        <w:rPr>
          <w:rFonts w:cstheme="minorHAnsi"/>
          <w:sz w:val="24"/>
          <w:szCs w:val="24"/>
          <w:lang w:val="en-GB"/>
        </w:rPr>
      </w:pPr>
      <w:r w:rsidRPr="00DE5A47">
        <w:rPr>
          <w:rFonts w:cstheme="minorHAnsi"/>
          <w:sz w:val="24"/>
          <w:szCs w:val="24"/>
          <w:lang w:val="en-GB"/>
        </w:rPr>
        <w:t xml:space="preserve">Biological indicators are test systems </w:t>
      </w:r>
      <w:r>
        <w:rPr>
          <w:rFonts w:cstheme="minorHAnsi"/>
          <w:sz w:val="24"/>
          <w:szCs w:val="24"/>
          <w:lang w:val="en-GB"/>
        </w:rPr>
        <w:t xml:space="preserve">(e.g. inoculated carriers) </w:t>
      </w:r>
      <w:r w:rsidRPr="00DE5A47">
        <w:rPr>
          <w:rFonts w:cstheme="minorHAnsi"/>
          <w:sz w:val="24"/>
          <w:szCs w:val="24"/>
          <w:lang w:val="en-GB"/>
        </w:rPr>
        <w:t>containing viable micro</w:t>
      </w:r>
      <w:r>
        <w:rPr>
          <w:rFonts w:cstheme="minorHAnsi"/>
          <w:sz w:val="24"/>
          <w:szCs w:val="24"/>
          <w:lang w:val="en-GB"/>
        </w:rPr>
        <w:t>-</w:t>
      </w:r>
      <w:r w:rsidRPr="00DE5A47">
        <w:rPr>
          <w:rFonts w:cstheme="minorHAnsi"/>
          <w:sz w:val="24"/>
          <w:szCs w:val="24"/>
          <w:lang w:val="en-GB"/>
        </w:rPr>
        <w:t>organisms (usually spores of bacteri</w:t>
      </w:r>
      <w:r>
        <w:rPr>
          <w:rFonts w:cstheme="minorHAnsi"/>
          <w:sz w:val="24"/>
          <w:szCs w:val="24"/>
          <w:lang w:val="en-GB"/>
        </w:rPr>
        <w:t xml:space="preserve">a, e.g. </w:t>
      </w:r>
      <w:r w:rsidRPr="000121CA">
        <w:rPr>
          <w:rFonts w:cstheme="minorHAnsi"/>
          <w:i/>
          <w:sz w:val="24"/>
          <w:szCs w:val="24"/>
          <w:lang w:val="en-GB"/>
        </w:rPr>
        <w:t>Bacillus</w:t>
      </w:r>
      <w:r w:rsidRPr="00D0787B">
        <w:rPr>
          <w:rFonts w:cstheme="minorHAnsi"/>
          <w:sz w:val="24"/>
          <w:szCs w:val="24"/>
          <w:lang w:val="en-GB"/>
        </w:rPr>
        <w:t xml:space="preserve"> </w:t>
      </w:r>
      <w:r w:rsidRPr="000121CA">
        <w:rPr>
          <w:rFonts w:cstheme="minorHAnsi"/>
          <w:sz w:val="24"/>
          <w:szCs w:val="24"/>
          <w:lang w:val="en-GB"/>
        </w:rPr>
        <w:t>or</w:t>
      </w:r>
      <w:r w:rsidRPr="000121CA">
        <w:rPr>
          <w:rFonts w:cstheme="minorHAnsi"/>
          <w:i/>
          <w:sz w:val="24"/>
          <w:szCs w:val="24"/>
          <w:lang w:val="en-GB"/>
        </w:rPr>
        <w:t xml:space="preserve"> Clostridium</w:t>
      </w:r>
      <w:r>
        <w:rPr>
          <w:rFonts w:cstheme="minorHAnsi"/>
          <w:sz w:val="24"/>
          <w:szCs w:val="24"/>
          <w:lang w:val="en-GB"/>
        </w:rPr>
        <w:t xml:space="preserve"> sp.)</w:t>
      </w:r>
      <w:r w:rsidRPr="00DE5A47">
        <w:rPr>
          <w:rFonts w:cstheme="minorHAnsi"/>
          <w:sz w:val="24"/>
          <w:szCs w:val="24"/>
          <w:lang w:val="en-GB"/>
        </w:rPr>
        <w:t xml:space="preserve"> that provide a defined </w:t>
      </w:r>
      <w:r>
        <w:rPr>
          <w:rFonts w:cstheme="minorHAnsi"/>
          <w:sz w:val="24"/>
          <w:szCs w:val="24"/>
          <w:lang w:val="en-GB"/>
        </w:rPr>
        <w:t xml:space="preserve">worst case </w:t>
      </w:r>
      <w:r w:rsidRPr="00DE5A47">
        <w:rPr>
          <w:rFonts w:cstheme="minorHAnsi"/>
          <w:sz w:val="24"/>
          <w:szCs w:val="24"/>
          <w:lang w:val="en-GB"/>
        </w:rPr>
        <w:t>challenge to verify the required effectiveness of a specified sterili</w:t>
      </w:r>
      <w:r>
        <w:rPr>
          <w:rFonts w:cstheme="minorHAnsi"/>
          <w:sz w:val="24"/>
          <w:szCs w:val="24"/>
          <w:lang w:val="en-GB"/>
        </w:rPr>
        <w:t>s</w:t>
      </w:r>
      <w:r w:rsidRPr="00DE5A47">
        <w:rPr>
          <w:rFonts w:cstheme="minorHAnsi"/>
          <w:sz w:val="24"/>
          <w:szCs w:val="24"/>
          <w:lang w:val="en-GB"/>
        </w:rPr>
        <w:t>ation process</w:t>
      </w:r>
      <w:r>
        <w:rPr>
          <w:rFonts w:cstheme="minorHAnsi"/>
          <w:sz w:val="24"/>
          <w:szCs w:val="24"/>
          <w:lang w:val="en-GB"/>
        </w:rPr>
        <w:t xml:space="preserve">. </w:t>
      </w:r>
      <w:r w:rsidRPr="00C22EF2">
        <w:rPr>
          <w:rFonts w:cstheme="minorHAnsi"/>
          <w:sz w:val="24"/>
          <w:szCs w:val="24"/>
          <w:lang w:val="en-GB"/>
        </w:rPr>
        <w:t>Commercially available biological indicators are recommended, but if suitable are not available, custom-made may be used.</w:t>
      </w:r>
      <w:r w:rsidRPr="002C3E48">
        <w:rPr>
          <w:rFonts w:cstheme="minorHAnsi"/>
          <w:sz w:val="24"/>
          <w:szCs w:val="24"/>
          <w:lang w:val="en-GB"/>
        </w:rPr>
        <w:t xml:space="preserve"> </w:t>
      </w:r>
      <w:r w:rsidRPr="00DE5A47">
        <w:rPr>
          <w:rFonts w:cstheme="minorHAnsi"/>
          <w:sz w:val="24"/>
          <w:szCs w:val="24"/>
          <w:lang w:val="en-GB"/>
        </w:rPr>
        <w:t>(</w:t>
      </w:r>
      <w:r w:rsidR="00E81151">
        <w:rPr>
          <w:rFonts w:cstheme="minorHAnsi"/>
          <w:sz w:val="24"/>
          <w:szCs w:val="24"/>
          <w:lang w:val="en-GB"/>
        </w:rPr>
        <w:t>EDQM T&amp;C G</w:t>
      </w:r>
      <w:r>
        <w:rPr>
          <w:rFonts w:cstheme="minorHAnsi"/>
          <w:sz w:val="24"/>
          <w:szCs w:val="24"/>
          <w:lang w:val="en-GB"/>
        </w:rPr>
        <w:t xml:space="preserve">uide 2.16.9.; </w:t>
      </w:r>
      <w:r w:rsidRPr="00DE5A47">
        <w:rPr>
          <w:rFonts w:cstheme="minorHAnsi"/>
          <w:sz w:val="24"/>
          <w:szCs w:val="24"/>
          <w:lang w:val="en-GB"/>
        </w:rPr>
        <w:t>Ph.Eur. 5.1.2.)</w:t>
      </w:r>
    </w:p>
    <w:p w14:paraId="346DA100" w14:textId="77777777" w:rsidR="00E81151" w:rsidRDefault="00E81151" w:rsidP="001904EB">
      <w:pPr>
        <w:spacing w:after="0"/>
        <w:jc w:val="both"/>
        <w:rPr>
          <w:rFonts w:cstheme="minorHAnsi"/>
          <w:sz w:val="24"/>
          <w:szCs w:val="24"/>
          <w:lang w:val="en-GB"/>
        </w:rPr>
      </w:pPr>
    </w:p>
    <w:p w14:paraId="3744E384" w14:textId="0EF84BEB" w:rsidR="001904EB" w:rsidRDefault="001904EB" w:rsidP="001904EB">
      <w:pPr>
        <w:spacing w:after="0"/>
        <w:jc w:val="both"/>
        <w:rPr>
          <w:rFonts w:cstheme="minorHAnsi"/>
          <w:sz w:val="24"/>
          <w:szCs w:val="24"/>
          <w:lang w:val="en-GB"/>
        </w:rPr>
      </w:pPr>
      <w:r>
        <w:rPr>
          <w:rFonts w:cstheme="minorHAnsi"/>
          <w:sz w:val="24"/>
          <w:szCs w:val="24"/>
          <w:lang w:val="en-GB"/>
        </w:rPr>
        <w:t xml:space="preserve">Bioburden (and where relevant, bacterial endotoxins) should be specified prior to sterilisation. </w:t>
      </w:r>
      <w:r w:rsidRPr="005F6DD0">
        <w:rPr>
          <w:rFonts w:cstheme="minorHAnsi"/>
          <w:sz w:val="24"/>
          <w:szCs w:val="24"/>
          <w:lang w:val="en-GB"/>
        </w:rPr>
        <w:t>Bioburden is usually expressed as a measure of the numbers and identification of the species of micro</w:t>
      </w:r>
      <w:r w:rsidR="005F6DD0" w:rsidRPr="00B8788B">
        <w:rPr>
          <w:rFonts w:cstheme="minorHAnsi"/>
          <w:sz w:val="24"/>
          <w:szCs w:val="24"/>
          <w:lang w:val="en-GB"/>
        </w:rPr>
        <w:t>-</w:t>
      </w:r>
      <w:r w:rsidRPr="005F6DD0">
        <w:rPr>
          <w:rFonts w:cstheme="minorHAnsi"/>
          <w:sz w:val="24"/>
          <w:szCs w:val="24"/>
          <w:lang w:val="en-GB"/>
        </w:rPr>
        <w:t>organisms in the material to be sterilised (</w:t>
      </w:r>
      <w:r w:rsidR="00E81151">
        <w:rPr>
          <w:rFonts w:cstheme="minorHAnsi"/>
          <w:sz w:val="24"/>
          <w:szCs w:val="24"/>
          <w:lang w:val="en-GB"/>
        </w:rPr>
        <w:t xml:space="preserve">EDQM </w:t>
      </w:r>
      <w:r w:rsidRPr="005F6DD0">
        <w:rPr>
          <w:rFonts w:cstheme="minorHAnsi"/>
          <w:sz w:val="24"/>
          <w:szCs w:val="24"/>
          <w:lang w:val="en-GB"/>
        </w:rPr>
        <w:t>T</w:t>
      </w:r>
      <w:r w:rsidR="00E81151">
        <w:rPr>
          <w:rFonts w:cstheme="minorHAnsi"/>
          <w:sz w:val="24"/>
          <w:szCs w:val="24"/>
          <w:lang w:val="en-GB"/>
        </w:rPr>
        <w:t>&amp;C G</w:t>
      </w:r>
      <w:r w:rsidRPr="008973AE">
        <w:rPr>
          <w:rFonts w:cstheme="minorHAnsi"/>
          <w:sz w:val="24"/>
          <w:szCs w:val="24"/>
          <w:lang w:val="en-GB"/>
        </w:rPr>
        <w:t>uide 10.3.6</w:t>
      </w:r>
      <w:r w:rsidR="00877BDA">
        <w:rPr>
          <w:rFonts w:cstheme="minorHAnsi"/>
          <w:sz w:val="24"/>
          <w:szCs w:val="24"/>
          <w:lang w:val="en-GB"/>
        </w:rPr>
        <w:t>; 10.4.3</w:t>
      </w:r>
      <w:r>
        <w:rPr>
          <w:rFonts w:cstheme="minorHAnsi"/>
          <w:sz w:val="24"/>
          <w:szCs w:val="24"/>
          <w:lang w:val="en-GB"/>
        </w:rPr>
        <w:t xml:space="preserve">; </w:t>
      </w:r>
      <w:r w:rsidRPr="00F85778">
        <w:rPr>
          <w:rFonts w:cstheme="minorHAnsi"/>
          <w:sz w:val="24"/>
          <w:szCs w:val="24"/>
          <w:lang w:val="en-GB"/>
        </w:rPr>
        <w:t>Ph. Eur. 2.6.12 and 2.6.13</w:t>
      </w:r>
      <w:r>
        <w:rPr>
          <w:rFonts w:cstheme="minorHAnsi"/>
          <w:sz w:val="24"/>
          <w:szCs w:val="24"/>
          <w:lang w:val="en-GB"/>
        </w:rPr>
        <w:t>).</w:t>
      </w:r>
      <w:r w:rsidRPr="00E14801">
        <w:rPr>
          <w:rFonts w:cstheme="minorHAnsi"/>
          <w:sz w:val="24"/>
          <w:szCs w:val="24"/>
          <w:lang w:val="en-GB"/>
        </w:rPr>
        <w:t xml:space="preserve"> </w:t>
      </w:r>
      <w:r>
        <w:rPr>
          <w:rFonts w:cstheme="minorHAnsi"/>
          <w:sz w:val="24"/>
          <w:szCs w:val="24"/>
          <w:lang w:val="en-GB"/>
        </w:rPr>
        <w:t xml:space="preserve">Validation of sterilisation potency requires that the maximum predicted level of microbiological contamination can be eliminated by determining the elimination capacity as the number of log scale reductions of the spiked micro-organism. The micro-organisms should verify the required effectiveness of selected sterilisation method by covering all relevant micro-organisms commonly found on the object including </w:t>
      </w:r>
      <w:r w:rsidR="00B8788B">
        <w:rPr>
          <w:rFonts w:cstheme="minorHAnsi"/>
          <w:sz w:val="24"/>
          <w:szCs w:val="24"/>
          <w:lang w:val="en-GB"/>
        </w:rPr>
        <w:t xml:space="preserve">for example </w:t>
      </w:r>
      <w:r>
        <w:rPr>
          <w:rFonts w:cstheme="minorHAnsi"/>
          <w:sz w:val="24"/>
          <w:szCs w:val="24"/>
          <w:lang w:val="en-GB"/>
        </w:rPr>
        <w:t>vegetative Gram positive and negative bacteria, vegetative fungi, fungal and bacterial spores</w:t>
      </w:r>
      <w:r>
        <w:rPr>
          <w:rFonts w:cstheme="minorHAnsi"/>
          <w:sz w:val="24"/>
          <w:szCs w:val="24"/>
        </w:rPr>
        <w:t xml:space="preserve"> </w:t>
      </w:r>
      <w:r w:rsidRPr="00583211">
        <w:rPr>
          <w:rFonts w:cstheme="minorHAnsi"/>
          <w:sz w:val="24"/>
          <w:szCs w:val="24"/>
        </w:rPr>
        <w:t>and viruses</w:t>
      </w:r>
      <w:r>
        <w:rPr>
          <w:rFonts w:cstheme="minorHAnsi"/>
          <w:sz w:val="24"/>
          <w:szCs w:val="24"/>
        </w:rPr>
        <w:t>,</w:t>
      </w:r>
      <w:r w:rsidRPr="00583211">
        <w:rPr>
          <w:rFonts w:cstheme="minorHAnsi"/>
          <w:sz w:val="24"/>
          <w:szCs w:val="24"/>
        </w:rPr>
        <w:t xml:space="preserve"> if applica</w:t>
      </w:r>
      <w:r>
        <w:rPr>
          <w:rFonts w:cstheme="minorHAnsi"/>
          <w:sz w:val="24"/>
          <w:szCs w:val="24"/>
        </w:rPr>
        <w:t>b</w:t>
      </w:r>
      <w:r w:rsidRPr="00583211">
        <w:rPr>
          <w:rFonts w:cstheme="minorHAnsi"/>
          <w:sz w:val="24"/>
          <w:szCs w:val="24"/>
        </w:rPr>
        <w:t>le</w:t>
      </w:r>
      <w:r w:rsidR="00B8788B">
        <w:rPr>
          <w:rFonts w:cstheme="minorHAnsi"/>
          <w:sz w:val="24"/>
          <w:szCs w:val="24"/>
        </w:rPr>
        <w:t xml:space="preserve"> </w:t>
      </w:r>
      <w:r>
        <w:rPr>
          <w:rFonts w:cstheme="minorHAnsi"/>
          <w:sz w:val="24"/>
          <w:szCs w:val="24"/>
          <w:lang w:val="en-GB"/>
        </w:rPr>
        <w:t>(</w:t>
      </w:r>
      <w:r w:rsidRPr="008973AE">
        <w:rPr>
          <w:rFonts w:cstheme="minorHAnsi"/>
          <w:sz w:val="24"/>
          <w:szCs w:val="24"/>
          <w:lang w:val="en-GB"/>
        </w:rPr>
        <w:t>T&amp;C guide 10.3.6</w:t>
      </w:r>
      <w:r>
        <w:rPr>
          <w:rFonts w:cstheme="minorHAnsi"/>
          <w:sz w:val="24"/>
          <w:szCs w:val="24"/>
          <w:lang w:val="en-GB"/>
        </w:rPr>
        <w:t>; Ph Eur 5.1.2;</w:t>
      </w:r>
      <w:r w:rsidRPr="0078666A">
        <w:t xml:space="preserve"> </w:t>
      </w:r>
      <w:r>
        <w:rPr>
          <w:rFonts w:cstheme="minorHAnsi"/>
          <w:sz w:val="24"/>
          <w:szCs w:val="24"/>
          <w:lang w:val="en-GB"/>
        </w:rPr>
        <w:t xml:space="preserve">EMA/CHMP/CVMP/QWP/850374/2015; </w:t>
      </w:r>
      <w:r w:rsidRPr="00CC7F47">
        <w:rPr>
          <w:rFonts w:cstheme="minorHAnsi"/>
          <w:sz w:val="24"/>
          <w:szCs w:val="24"/>
          <w:lang w:val="en-GB"/>
        </w:rPr>
        <w:t>CPMP/BWP/268/95</w:t>
      </w:r>
      <w:r>
        <w:rPr>
          <w:rFonts w:cstheme="minorHAnsi"/>
          <w:sz w:val="24"/>
          <w:szCs w:val="24"/>
          <w:lang w:val="en-GB"/>
        </w:rPr>
        <w:t>.)</w:t>
      </w:r>
      <w:r w:rsidRPr="000121CA">
        <w:rPr>
          <w:rFonts w:cstheme="minorHAnsi"/>
          <w:sz w:val="24"/>
          <w:szCs w:val="24"/>
          <w:lang w:val="en-GB"/>
        </w:rPr>
        <w:t>.</w:t>
      </w:r>
    </w:p>
    <w:p w14:paraId="66853CF4" w14:textId="77777777" w:rsidR="00E81151" w:rsidRDefault="00E81151" w:rsidP="001904EB">
      <w:pPr>
        <w:spacing w:after="0"/>
        <w:jc w:val="both"/>
        <w:rPr>
          <w:rFonts w:cstheme="minorHAnsi"/>
          <w:sz w:val="24"/>
          <w:szCs w:val="24"/>
          <w:lang w:val="en-GB"/>
        </w:rPr>
      </w:pPr>
    </w:p>
    <w:p w14:paraId="6BFAB105" w14:textId="0A2EE5F4" w:rsidR="001904EB" w:rsidRDefault="001904EB" w:rsidP="001904EB">
      <w:pPr>
        <w:spacing w:after="0"/>
        <w:jc w:val="both"/>
        <w:rPr>
          <w:rFonts w:cstheme="minorHAnsi"/>
          <w:sz w:val="24"/>
          <w:szCs w:val="24"/>
          <w:lang w:val="en-GB"/>
        </w:rPr>
      </w:pPr>
      <w:r>
        <w:rPr>
          <w:rFonts w:cstheme="minorHAnsi"/>
          <w:sz w:val="24"/>
          <w:szCs w:val="24"/>
        </w:rPr>
        <w:t xml:space="preserve">Viral indicators </w:t>
      </w:r>
      <w:r w:rsidRPr="004C46C1">
        <w:rPr>
          <w:rFonts w:cstheme="minorHAnsi"/>
          <w:sz w:val="24"/>
          <w:szCs w:val="24"/>
        </w:rPr>
        <w:t>should be chosen to resemble viruses which may contaminate the BTC product</w:t>
      </w:r>
      <w:r>
        <w:rPr>
          <w:rFonts w:cstheme="minorHAnsi"/>
          <w:sz w:val="24"/>
          <w:szCs w:val="24"/>
        </w:rPr>
        <w:t>.</w:t>
      </w:r>
      <w:r w:rsidR="00E81151">
        <w:rPr>
          <w:rFonts w:cstheme="minorHAnsi"/>
          <w:sz w:val="24"/>
          <w:szCs w:val="24"/>
          <w:lang w:val="en-GB"/>
        </w:rPr>
        <w:t xml:space="preserve"> </w:t>
      </w:r>
      <w:r>
        <w:rPr>
          <w:rFonts w:cstheme="minorHAnsi"/>
          <w:sz w:val="24"/>
          <w:szCs w:val="24"/>
        </w:rPr>
        <w:t xml:space="preserve">Further detailed recommendations of viral safety (Ph. Eur. 5.1.7) as well as examples of the used virus indicators are listed in </w:t>
      </w:r>
      <w:r w:rsidRPr="00950628">
        <w:rPr>
          <w:rFonts w:cstheme="minorHAnsi"/>
          <w:sz w:val="24"/>
          <w:szCs w:val="24"/>
          <w:lang w:val="en-GB"/>
        </w:rPr>
        <w:t>CPMP/BWP/268/95</w:t>
      </w:r>
      <w:r>
        <w:rPr>
          <w:rFonts w:cstheme="minorHAnsi"/>
          <w:sz w:val="24"/>
          <w:szCs w:val="24"/>
          <w:lang w:val="en-GB"/>
        </w:rPr>
        <w:t xml:space="preserve"> </w:t>
      </w:r>
      <w:r w:rsidRPr="00691339">
        <w:rPr>
          <w:rFonts w:cstheme="minorHAnsi"/>
          <w:i/>
          <w:sz w:val="24"/>
          <w:szCs w:val="24"/>
          <w:lang w:val="en-GB"/>
        </w:rPr>
        <w:t>Virus validation studies: the design, contribution and interpretation of studies validating the inactivation and removal of viruses</w:t>
      </w:r>
      <w:r>
        <w:rPr>
          <w:rFonts w:cstheme="minorHAnsi"/>
          <w:i/>
          <w:sz w:val="24"/>
          <w:szCs w:val="24"/>
          <w:lang w:val="en-GB"/>
        </w:rPr>
        <w:t>.</w:t>
      </w:r>
    </w:p>
    <w:p w14:paraId="7ACAB3D7" w14:textId="29AB4062" w:rsidR="001904EB" w:rsidRDefault="001904EB" w:rsidP="001904EB">
      <w:pPr>
        <w:spacing w:after="0"/>
      </w:pPr>
    </w:p>
    <w:p w14:paraId="4D6249A6" w14:textId="4D623DFF" w:rsidR="001904EB" w:rsidRPr="00BA2329" w:rsidRDefault="001904EB" w:rsidP="009A297D">
      <w:pPr>
        <w:pStyle w:val="Heading2"/>
        <w:numPr>
          <w:ilvl w:val="1"/>
          <w:numId w:val="17"/>
        </w:numPr>
      </w:pPr>
      <w:bookmarkStart w:id="35" w:name="_Toc41427170"/>
      <w:r w:rsidRPr="00925A0C">
        <w:t>S</w:t>
      </w:r>
      <w:r>
        <w:t>pecific validation criteria for sterilisation methods</w:t>
      </w:r>
      <w:bookmarkEnd w:id="35"/>
    </w:p>
    <w:p w14:paraId="599E89AF" w14:textId="0109A236" w:rsidR="001904EB" w:rsidRDefault="001904EB" w:rsidP="00E81151">
      <w:pPr>
        <w:spacing w:after="0"/>
        <w:jc w:val="both"/>
        <w:rPr>
          <w:rFonts w:cstheme="minorHAnsi"/>
          <w:sz w:val="24"/>
          <w:szCs w:val="24"/>
          <w:lang w:val="en-GB"/>
        </w:rPr>
      </w:pPr>
      <w:r>
        <w:rPr>
          <w:rFonts w:cstheme="minorHAnsi"/>
          <w:sz w:val="24"/>
          <w:szCs w:val="24"/>
          <w:lang w:val="en-GB"/>
        </w:rPr>
        <w:t xml:space="preserve">Depending on the sterilisation method in question, more specific </w:t>
      </w:r>
      <w:r w:rsidRPr="004837FF">
        <w:rPr>
          <w:rFonts w:cstheme="minorHAnsi"/>
          <w:sz w:val="24"/>
          <w:szCs w:val="24"/>
          <w:lang w:val="en-GB"/>
        </w:rPr>
        <w:t xml:space="preserve">validation data </w:t>
      </w:r>
      <w:r>
        <w:rPr>
          <w:rFonts w:cstheme="minorHAnsi"/>
          <w:sz w:val="24"/>
          <w:szCs w:val="24"/>
          <w:lang w:val="en-GB"/>
        </w:rPr>
        <w:t xml:space="preserve">needs </w:t>
      </w:r>
      <w:r w:rsidRPr="004837FF">
        <w:rPr>
          <w:rFonts w:cstheme="minorHAnsi"/>
          <w:sz w:val="24"/>
          <w:szCs w:val="24"/>
          <w:lang w:val="en-GB"/>
        </w:rPr>
        <w:t xml:space="preserve">to be evaluated for </w:t>
      </w:r>
      <w:r>
        <w:rPr>
          <w:rFonts w:cstheme="minorHAnsi"/>
          <w:sz w:val="24"/>
          <w:szCs w:val="24"/>
          <w:lang w:val="en-GB"/>
        </w:rPr>
        <w:t>removal of micro-organisms</w:t>
      </w:r>
      <w:r w:rsidRPr="004837FF">
        <w:rPr>
          <w:rFonts w:cstheme="minorHAnsi"/>
          <w:sz w:val="24"/>
          <w:szCs w:val="24"/>
          <w:lang w:val="en-GB"/>
        </w:rPr>
        <w:t xml:space="preserve">. </w:t>
      </w:r>
      <w:r>
        <w:rPr>
          <w:rFonts w:cstheme="minorHAnsi"/>
          <w:sz w:val="24"/>
          <w:szCs w:val="24"/>
          <w:lang w:val="en-GB"/>
        </w:rPr>
        <w:t>As a main principle, validation of the method effectiveness should be done using a combination of physical (e.g. thermo couples in moist heat sterilisation) and biological indicators, which shall be placed at the locations where sterilising conditions are most difficult to achieve (e.g. cold spots when using heat, difficult to penetrate areas when using gas</w:t>
      </w:r>
      <w:r w:rsidR="00A44402">
        <w:rPr>
          <w:rFonts w:cstheme="minorHAnsi"/>
          <w:sz w:val="24"/>
          <w:szCs w:val="24"/>
          <w:lang w:val="en-GB"/>
        </w:rPr>
        <w:t xml:space="preserve">, </w:t>
      </w:r>
      <w:r w:rsidR="00A56A12">
        <w:rPr>
          <w:rFonts w:cstheme="minorHAnsi"/>
          <w:sz w:val="24"/>
          <w:szCs w:val="24"/>
          <w:lang w:val="en-GB"/>
        </w:rPr>
        <w:t>minimum/</w:t>
      </w:r>
      <w:r w:rsidR="00A44402">
        <w:rPr>
          <w:rFonts w:cstheme="minorHAnsi"/>
          <w:sz w:val="24"/>
          <w:szCs w:val="24"/>
          <w:lang w:val="en-GB"/>
        </w:rPr>
        <w:t>maximum load</w:t>
      </w:r>
      <w:r>
        <w:rPr>
          <w:rFonts w:cstheme="minorHAnsi"/>
          <w:sz w:val="24"/>
          <w:szCs w:val="24"/>
          <w:lang w:val="en-GB"/>
        </w:rPr>
        <w:t>). (</w:t>
      </w:r>
      <w:r w:rsidRPr="00501C29">
        <w:rPr>
          <w:rFonts w:cstheme="minorHAnsi"/>
          <w:sz w:val="24"/>
          <w:szCs w:val="24"/>
          <w:lang w:val="en-GB"/>
        </w:rPr>
        <w:t>This principle is not applicable to membrane filtration</w:t>
      </w:r>
      <w:r>
        <w:rPr>
          <w:rFonts w:cstheme="minorHAnsi"/>
          <w:sz w:val="24"/>
          <w:szCs w:val="24"/>
          <w:lang w:val="en-GB"/>
        </w:rPr>
        <w:t xml:space="preserve">). Parameters to achieve the required SAL and an example of the most widely accepted biological indicators are described under the relevant sterilisation method below. </w:t>
      </w:r>
    </w:p>
    <w:p w14:paraId="69A09462" w14:textId="77777777" w:rsidR="00E81151" w:rsidRDefault="00E81151" w:rsidP="00E81151">
      <w:pPr>
        <w:spacing w:after="0"/>
        <w:jc w:val="both"/>
        <w:rPr>
          <w:rFonts w:cstheme="minorHAnsi"/>
          <w:sz w:val="24"/>
          <w:szCs w:val="24"/>
          <w:lang w:val="en-GB"/>
        </w:rPr>
      </w:pPr>
    </w:p>
    <w:p w14:paraId="3214D604" w14:textId="3A9EDD22" w:rsidR="001904EB" w:rsidRDefault="001904EB" w:rsidP="00E81151">
      <w:pPr>
        <w:spacing w:after="0"/>
        <w:jc w:val="both"/>
        <w:rPr>
          <w:rFonts w:cstheme="minorHAnsi"/>
          <w:sz w:val="24"/>
          <w:szCs w:val="24"/>
          <w:lang w:val="en-GB"/>
        </w:rPr>
      </w:pPr>
      <w:r w:rsidRPr="00634CBB">
        <w:rPr>
          <w:rFonts w:cstheme="minorHAnsi"/>
          <w:sz w:val="24"/>
          <w:szCs w:val="24"/>
          <w:lang w:val="en-GB"/>
        </w:rPr>
        <w:t>Conditions of the sterili</w:t>
      </w:r>
      <w:r w:rsidR="00F97F37">
        <w:rPr>
          <w:rFonts w:cstheme="minorHAnsi"/>
          <w:sz w:val="24"/>
          <w:szCs w:val="24"/>
          <w:lang w:val="en-GB"/>
        </w:rPr>
        <w:t>s</w:t>
      </w:r>
      <w:r w:rsidRPr="00634CBB">
        <w:rPr>
          <w:rFonts w:cstheme="minorHAnsi"/>
          <w:sz w:val="24"/>
          <w:szCs w:val="24"/>
          <w:lang w:val="en-GB"/>
        </w:rPr>
        <w:t>ation methods should be developed and validated in compliance with Ph. Eur</w:t>
      </w:r>
      <w:r w:rsidR="00E81151">
        <w:rPr>
          <w:rFonts w:cstheme="minorHAnsi"/>
          <w:sz w:val="24"/>
          <w:szCs w:val="24"/>
          <w:lang w:val="en-GB"/>
        </w:rPr>
        <w:t>.</w:t>
      </w:r>
      <w:r w:rsidRPr="00634CBB">
        <w:rPr>
          <w:rFonts w:cstheme="minorHAnsi"/>
          <w:sz w:val="24"/>
          <w:szCs w:val="24"/>
          <w:lang w:val="en-GB"/>
        </w:rPr>
        <w:t xml:space="preserve"> 5.1.1 and 5.1.2.</w:t>
      </w:r>
      <w:r>
        <w:rPr>
          <w:rFonts w:cstheme="minorHAnsi"/>
          <w:sz w:val="24"/>
          <w:szCs w:val="24"/>
          <w:lang w:val="en-GB"/>
        </w:rPr>
        <w:t xml:space="preserve"> In addition, guidelines for validation of sterilisation methods are explained e.g. in the publication by European Medicines Agency (EMA/CHMP/CVMP/QWP/850374/2015).</w:t>
      </w:r>
    </w:p>
    <w:p w14:paraId="64633051" w14:textId="77777777" w:rsidR="001904EB" w:rsidRPr="004837FF" w:rsidRDefault="001904EB" w:rsidP="001904EB">
      <w:pPr>
        <w:spacing w:after="0"/>
        <w:rPr>
          <w:rFonts w:cstheme="minorHAnsi"/>
          <w:sz w:val="24"/>
          <w:szCs w:val="24"/>
          <w:lang w:val="en-GB"/>
        </w:rPr>
      </w:pPr>
    </w:p>
    <w:p w14:paraId="4C417D99" w14:textId="453C6079" w:rsidR="001904EB" w:rsidRPr="001340AD" w:rsidRDefault="00760A81" w:rsidP="00760A81">
      <w:pPr>
        <w:pStyle w:val="Heading3"/>
        <w:rPr>
          <w:sz w:val="24"/>
          <w:szCs w:val="24"/>
        </w:rPr>
      </w:pPr>
      <w:bookmarkStart w:id="36" w:name="_Toc41427171"/>
      <w:r>
        <w:rPr>
          <w:rStyle w:val="Heading3Char"/>
        </w:rPr>
        <w:t>5</w:t>
      </w:r>
      <w:r w:rsidR="001904EB" w:rsidRPr="00BE3ED7">
        <w:rPr>
          <w:rStyle w:val="Heading3Char"/>
        </w:rPr>
        <w:t>.4.1. Steam sterilisation (Autoclaving</w:t>
      </w:r>
      <w:r w:rsidR="001904EB" w:rsidRPr="00476C49">
        <w:rPr>
          <w:sz w:val="24"/>
          <w:szCs w:val="24"/>
        </w:rPr>
        <w:t>)</w:t>
      </w:r>
      <w:bookmarkEnd w:id="36"/>
    </w:p>
    <w:p w14:paraId="077C3F30" w14:textId="116D6B66" w:rsidR="001904EB" w:rsidRPr="00E14801" w:rsidRDefault="001904EB" w:rsidP="001904EB">
      <w:pPr>
        <w:spacing w:after="0"/>
        <w:jc w:val="both"/>
        <w:rPr>
          <w:rFonts w:cstheme="minorHAnsi"/>
          <w:sz w:val="24"/>
          <w:szCs w:val="24"/>
          <w:lang w:val="en-GB"/>
        </w:rPr>
      </w:pPr>
      <w:r w:rsidRPr="00E14801">
        <w:rPr>
          <w:rFonts w:cstheme="minorHAnsi"/>
          <w:sz w:val="24"/>
          <w:szCs w:val="24"/>
          <w:lang w:val="en-GB"/>
        </w:rPr>
        <w:t>St</w:t>
      </w:r>
      <w:r>
        <w:rPr>
          <w:rFonts w:cstheme="minorHAnsi"/>
          <w:sz w:val="24"/>
          <w:szCs w:val="24"/>
          <w:lang w:val="en-GB"/>
        </w:rPr>
        <w:t>eam (moist heat) st</w:t>
      </w:r>
      <w:r w:rsidRPr="00E14801">
        <w:rPr>
          <w:rFonts w:cstheme="minorHAnsi"/>
          <w:sz w:val="24"/>
          <w:szCs w:val="24"/>
          <w:lang w:val="en-GB"/>
        </w:rPr>
        <w:t xml:space="preserve">erilisation </w:t>
      </w:r>
      <w:r>
        <w:rPr>
          <w:rFonts w:cstheme="minorHAnsi"/>
          <w:sz w:val="24"/>
          <w:szCs w:val="24"/>
          <w:lang w:val="en-GB"/>
        </w:rPr>
        <w:t>is performed in</w:t>
      </w:r>
      <w:r w:rsidRPr="00E14801">
        <w:rPr>
          <w:rFonts w:cstheme="minorHAnsi"/>
          <w:sz w:val="24"/>
          <w:szCs w:val="24"/>
          <w:lang w:val="en-GB"/>
        </w:rPr>
        <w:t xml:space="preserve"> saturated steam under pressure</w:t>
      </w:r>
      <w:r>
        <w:rPr>
          <w:rFonts w:cstheme="minorHAnsi"/>
          <w:sz w:val="24"/>
          <w:szCs w:val="24"/>
          <w:lang w:val="en-GB"/>
        </w:rPr>
        <w:t xml:space="preserve"> in autoclaves (</w:t>
      </w:r>
      <w:r w:rsidRPr="00051B8C">
        <w:rPr>
          <w:rFonts w:cstheme="minorHAnsi"/>
          <w:sz w:val="24"/>
          <w:szCs w:val="24"/>
          <w:lang w:val="en-GB"/>
        </w:rPr>
        <w:t xml:space="preserve">Directive 2014/68/EU </w:t>
      </w:r>
      <w:r>
        <w:rPr>
          <w:rFonts w:cstheme="minorHAnsi"/>
          <w:sz w:val="24"/>
          <w:szCs w:val="24"/>
          <w:lang w:val="en-GB"/>
        </w:rPr>
        <w:t>for pressure equipment) and the critical parameters are pressure, time and temperature. When using the method, equal distribution and adequate penetration of steam should be verified. The reference cycle for steam sterilisation is 15 min at 121 °C</w:t>
      </w:r>
      <w:r w:rsidR="006A2EF9">
        <w:rPr>
          <w:rFonts w:cstheme="minorHAnsi"/>
          <w:sz w:val="24"/>
          <w:szCs w:val="24"/>
          <w:lang w:val="en-GB"/>
        </w:rPr>
        <w:t>.</w:t>
      </w:r>
      <w:r>
        <w:rPr>
          <w:rFonts w:cstheme="minorHAnsi"/>
          <w:sz w:val="24"/>
          <w:szCs w:val="24"/>
          <w:lang w:val="en-GB"/>
        </w:rPr>
        <w:t xml:space="preserve"> </w:t>
      </w:r>
      <w:r w:rsidR="006A2EF9">
        <w:rPr>
          <w:rFonts w:cstheme="minorHAnsi"/>
          <w:sz w:val="24"/>
          <w:szCs w:val="24"/>
          <w:lang w:val="en-GB"/>
        </w:rPr>
        <w:t xml:space="preserve">Depending on the product and load, another combination of time and temperature may be adopted based on cycle validation, </w:t>
      </w:r>
      <w:r>
        <w:rPr>
          <w:rFonts w:cstheme="minorHAnsi"/>
          <w:sz w:val="24"/>
          <w:szCs w:val="24"/>
          <w:lang w:val="en-GB"/>
        </w:rPr>
        <w:t xml:space="preserve">with a minimum acceptable temperature 110 °C. The sterilisation effectiveness may be calculated by </w:t>
      </w:r>
      <w:r>
        <w:rPr>
          <w:rFonts w:cstheme="minorHAnsi"/>
          <w:sz w:val="24"/>
          <w:szCs w:val="24"/>
        </w:rPr>
        <w:t>F</w:t>
      </w:r>
      <w:r w:rsidRPr="00BD5481">
        <w:rPr>
          <w:rFonts w:cstheme="minorHAnsi"/>
          <w:sz w:val="24"/>
          <w:szCs w:val="24"/>
          <w:vertAlign w:val="subscript"/>
        </w:rPr>
        <w:t>0</w:t>
      </w:r>
      <w:r>
        <w:rPr>
          <w:rFonts w:cstheme="minorHAnsi"/>
          <w:sz w:val="24"/>
          <w:szCs w:val="24"/>
          <w:vertAlign w:val="subscript"/>
        </w:rPr>
        <w:t xml:space="preserve"> </w:t>
      </w:r>
      <w:r>
        <w:rPr>
          <w:rFonts w:cstheme="minorHAnsi"/>
          <w:sz w:val="24"/>
          <w:szCs w:val="24"/>
        </w:rPr>
        <w:t>concept</w:t>
      </w:r>
      <w:r w:rsidR="006A2EF9">
        <w:rPr>
          <w:rFonts w:cstheme="minorHAnsi"/>
          <w:sz w:val="24"/>
          <w:szCs w:val="24"/>
        </w:rPr>
        <w:t>.</w:t>
      </w:r>
      <w:r>
        <w:rPr>
          <w:rFonts w:cstheme="minorHAnsi"/>
          <w:sz w:val="24"/>
          <w:szCs w:val="24"/>
        </w:rPr>
        <w:t xml:space="preserve"> F</w:t>
      </w:r>
      <w:r w:rsidRPr="00BD5481">
        <w:rPr>
          <w:rFonts w:cstheme="minorHAnsi"/>
          <w:sz w:val="24"/>
          <w:szCs w:val="24"/>
          <w:vertAlign w:val="subscript"/>
        </w:rPr>
        <w:t>0</w:t>
      </w:r>
      <w:r>
        <w:rPr>
          <w:rFonts w:cstheme="minorHAnsi"/>
          <w:sz w:val="24"/>
          <w:szCs w:val="24"/>
        </w:rPr>
        <w:t xml:space="preserve"> is the time in minute for the specified temperature that causes the same lethality as one minute at 121 </w:t>
      </w:r>
      <w:r w:rsidRPr="00FD2FEF">
        <w:rPr>
          <w:rFonts w:cstheme="minorHAnsi"/>
          <w:sz w:val="24"/>
          <w:szCs w:val="24"/>
          <w:lang w:val="en-GB"/>
        </w:rPr>
        <w:t>°C</w:t>
      </w:r>
      <w:r w:rsidR="006A2EF9">
        <w:rPr>
          <w:rFonts w:cstheme="minorHAnsi"/>
          <w:sz w:val="24"/>
          <w:szCs w:val="24"/>
          <w:lang w:val="en-GB"/>
        </w:rPr>
        <w:t>,</w:t>
      </w:r>
      <w:r>
        <w:rPr>
          <w:rFonts w:cstheme="minorHAnsi"/>
          <w:sz w:val="24"/>
          <w:szCs w:val="24"/>
          <w:lang w:val="en-GB"/>
        </w:rPr>
        <w:t xml:space="preserve"> </w:t>
      </w:r>
      <w:r w:rsidR="006A2EF9">
        <w:rPr>
          <w:rFonts w:cstheme="minorHAnsi"/>
          <w:sz w:val="24"/>
          <w:szCs w:val="24"/>
        </w:rPr>
        <w:t xml:space="preserve">with minimum </w:t>
      </w:r>
      <w:r w:rsidR="006A2EF9" w:rsidRPr="00035D3A">
        <w:rPr>
          <w:rFonts w:cstheme="minorHAnsi"/>
          <w:sz w:val="24"/>
          <w:szCs w:val="24"/>
        </w:rPr>
        <w:t>F</w:t>
      </w:r>
      <w:r w:rsidR="006A2EF9" w:rsidRPr="00035D3A">
        <w:rPr>
          <w:rFonts w:cstheme="minorHAnsi"/>
          <w:sz w:val="24"/>
          <w:szCs w:val="24"/>
          <w:vertAlign w:val="subscript"/>
        </w:rPr>
        <w:t>0</w:t>
      </w:r>
      <w:r w:rsidR="006A2EF9">
        <w:rPr>
          <w:rFonts w:cstheme="minorHAnsi"/>
          <w:sz w:val="24"/>
          <w:szCs w:val="24"/>
        </w:rPr>
        <w:t xml:space="preserve"> not less than 8 min. </w:t>
      </w:r>
      <w:r>
        <w:rPr>
          <w:rFonts w:cstheme="minorHAnsi"/>
          <w:sz w:val="24"/>
          <w:szCs w:val="24"/>
          <w:lang w:val="en-GB"/>
        </w:rPr>
        <w:t>(Ph.Eur. 5.1.5).</w:t>
      </w:r>
      <w:r w:rsidRPr="00E14801">
        <w:rPr>
          <w:rFonts w:cstheme="minorHAnsi"/>
          <w:sz w:val="24"/>
          <w:szCs w:val="24"/>
        </w:rPr>
        <w:tab/>
      </w:r>
    </w:p>
    <w:p w14:paraId="4490B76E" w14:textId="77777777" w:rsidR="001904EB" w:rsidRDefault="001904EB" w:rsidP="009A297D">
      <w:pPr>
        <w:pStyle w:val="ListParagraph"/>
        <w:numPr>
          <w:ilvl w:val="1"/>
          <w:numId w:val="3"/>
        </w:numPr>
        <w:spacing w:after="0"/>
        <w:jc w:val="both"/>
        <w:rPr>
          <w:rFonts w:cstheme="minorHAnsi"/>
          <w:sz w:val="24"/>
          <w:szCs w:val="24"/>
        </w:rPr>
      </w:pPr>
      <w:r>
        <w:rPr>
          <w:rFonts w:cstheme="minorHAnsi"/>
          <w:sz w:val="24"/>
          <w:szCs w:val="24"/>
        </w:rPr>
        <w:t xml:space="preserve">Suitable test micro-organism: </w:t>
      </w:r>
      <w:r w:rsidRPr="00067694">
        <w:rPr>
          <w:rFonts w:cstheme="minorHAnsi"/>
          <w:i/>
          <w:sz w:val="24"/>
          <w:szCs w:val="24"/>
        </w:rPr>
        <w:t>Geobacillus stearothermophilus</w:t>
      </w:r>
      <w:r>
        <w:rPr>
          <w:rFonts w:cstheme="minorHAnsi"/>
          <w:sz w:val="24"/>
          <w:szCs w:val="24"/>
        </w:rPr>
        <w:t xml:space="preserve"> (e.g. strains ATCC 7953, NCTC 10007, CIP 52.81, NCIMB 8157, ATCC 12980)</w:t>
      </w:r>
    </w:p>
    <w:p w14:paraId="7ED9CA21" w14:textId="688E86EC" w:rsidR="001904EB" w:rsidRPr="001904EB" w:rsidRDefault="001904EB" w:rsidP="009A297D">
      <w:pPr>
        <w:pStyle w:val="ListParagraph"/>
        <w:numPr>
          <w:ilvl w:val="1"/>
          <w:numId w:val="3"/>
        </w:numPr>
        <w:spacing w:after="0"/>
        <w:jc w:val="both"/>
        <w:rPr>
          <w:rFonts w:cstheme="minorHAnsi"/>
          <w:sz w:val="24"/>
          <w:szCs w:val="24"/>
        </w:rPr>
      </w:pPr>
      <w:r w:rsidRPr="001904EB">
        <w:rPr>
          <w:rFonts w:cstheme="minorHAnsi"/>
          <w:sz w:val="24"/>
          <w:szCs w:val="24"/>
        </w:rPr>
        <w:t>Specific standard to be considered: ISO 17665-1:2006</w:t>
      </w:r>
      <w:r w:rsidRPr="001904EB">
        <w:rPr>
          <w:rFonts w:cstheme="minorHAnsi"/>
          <w:i/>
          <w:sz w:val="24"/>
          <w:szCs w:val="24"/>
        </w:rPr>
        <w:t>: Sterilization of health care products</w:t>
      </w:r>
      <w:r w:rsidRPr="001904EB">
        <w:rPr>
          <w:rFonts w:cstheme="minorHAnsi"/>
          <w:sz w:val="24"/>
          <w:szCs w:val="24"/>
        </w:rPr>
        <w:t xml:space="preserve"> - Moist heat - Part 1: Requirements for the development, validation and routine control of a sterilization process for medical devices. </w:t>
      </w:r>
    </w:p>
    <w:p w14:paraId="042C45A9" w14:textId="77777777" w:rsidR="001904EB" w:rsidRPr="00E14801" w:rsidRDefault="001904EB" w:rsidP="001904EB">
      <w:pPr>
        <w:pStyle w:val="Heading4"/>
        <w:spacing w:before="0" w:line="276" w:lineRule="auto"/>
        <w:jc w:val="both"/>
        <w:rPr>
          <w:rFonts w:asciiTheme="minorHAnsi" w:hAnsiTheme="minorHAnsi" w:cstheme="minorHAnsi"/>
          <w:i w:val="0"/>
          <w:sz w:val="24"/>
          <w:szCs w:val="24"/>
          <w:lang w:val="en-GB"/>
        </w:rPr>
      </w:pPr>
    </w:p>
    <w:p w14:paraId="317906A3" w14:textId="239A07B4" w:rsidR="001904EB" w:rsidRPr="00074A23" w:rsidRDefault="00760A81" w:rsidP="00760A81">
      <w:pPr>
        <w:pStyle w:val="Heading3"/>
        <w:rPr>
          <w:rStyle w:val="Heading3Char"/>
        </w:rPr>
      </w:pPr>
      <w:bookmarkStart w:id="37" w:name="_Toc41427172"/>
      <w:r w:rsidRPr="00074A23">
        <w:rPr>
          <w:rStyle w:val="Heading3Char"/>
        </w:rPr>
        <w:t>5</w:t>
      </w:r>
      <w:r w:rsidR="001904EB" w:rsidRPr="00074A23">
        <w:rPr>
          <w:rStyle w:val="Heading3Char"/>
        </w:rPr>
        <w:t>.4.2. Dry heat</w:t>
      </w:r>
      <w:bookmarkEnd w:id="37"/>
    </w:p>
    <w:p w14:paraId="0B00756F" w14:textId="1B5B8EE0" w:rsidR="001904EB" w:rsidRPr="009622FE" w:rsidRDefault="001904EB" w:rsidP="00E81151">
      <w:pPr>
        <w:jc w:val="both"/>
        <w:rPr>
          <w:rFonts w:cstheme="minorHAnsi"/>
          <w:sz w:val="24"/>
          <w:szCs w:val="24"/>
        </w:rPr>
      </w:pPr>
      <w:r>
        <w:rPr>
          <w:rFonts w:cstheme="minorHAnsi"/>
          <w:sz w:val="24"/>
          <w:szCs w:val="24"/>
          <w:lang w:val="en-GB"/>
        </w:rPr>
        <w:t xml:space="preserve">For dry heat the critical parameters are time and temperature. </w:t>
      </w:r>
      <w:r>
        <w:rPr>
          <w:rFonts w:cstheme="minorHAnsi"/>
          <w:sz w:val="24"/>
          <w:szCs w:val="24"/>
        </w:rPr>
        <w:t xml:space="preserve">Reference conditions are minimum of </w:t>
      </w:r>
      <w:r>
        <w:rPr>
          <w:rFonts w:cstheme="minorHAnsi"/>
          <w:sz w:val="24"/>
          <w:szCs w:val="24"/>
          <w:lang w:val="en-GB"/>
        </w:rPr>
        <w:t xml:space="preserve">160 °C for at least </w:t>
      </w:r>
      <w:r w:rsidRPr="00FD2FEF">
        <w:rPr>
          <w:rFonts w:cstheme="minorHAnsi"/>
          <w:sz w:val="24"/>
          <w:szCs w:val="24"/>
          <w:lang w:val="en-GB"/>
        </w:rPr>
        <w:t>2 h</w:t>
      </w:r>
      <w:r>
        <w:rPr>
          <w:rFonts w:cstheme="minorHAnsi"/>
          <w:sz w:val="24"/>
          <w:szCs w:val="24"/>
          <w:lang w:val="en-GB"/>
        </w:rPr>
        <w:t xml:space="preserve">. Other combinations may be used if validated and </w:t>
      </w:r>
      <w:r w:rsidRPr="00E14801">
        <w:rPr>
          <w:rFonts w:cstheme="minorHAnsi"/>
          <w:sz w:val="24"/>
          <w:szCs w:val="24"/>
          <w:lang w:val="en-GB"/>
        </w:rPr>
        <w:t>SAL ≤ 10</w:t>
      </w:r>
      <w:r w:rsidRPr="00E14801">
        <w:rPr>
          <w:rFonts w:cstheme="minorHAnsi"/>
          <w:sz w:val="24"/>
          <w:szCs w:val="24"/>
          <w:vertAlign w:val="superscript"/>
          <w:lang w:val="en-GB"/>
        </w:rPr>
        <w:t>-6</w:t>
      </w:r>
      <w:r>
        <w:rPr>
          <w:rFonts w:cstheme="minorHAnsi"/>
          <w:sz w:val="24"/>
          <w:szCs w:val="24"/>
          <w:vertAlign w:val="superscript"/>
          <w:lang w:val="en-GB"/>
        </w:rPr>
        <w:t xml:space="preserve"> </w:t>
      </w:r>
      <w:r w:rsidRPr="00177EEF">
        <w:rPr>
          <w:rFonts w:cstheme="minorHAnsi"/>
          <w:sz w:val="24"/>
          <w:szCs w:val="24"/>
          <w:lang w:val="en-GB"/>
        </w:rPr>
        <w:t xml:space="preserve">is </w:t>
      </w:r>
      <w:r w:rsidRPr="00DF72FD">
        <w:rPr>
          <w:rFonts w:cstheme="minorHAnsi"/>
          <w:sz w:val="24"/>
          <w:szCs w:val="24"/>
        </w:rPr>
        <w:t>demonstrated</w:t>
      </w:r>
      <w:r>
        <w:rPr>
          <w:rFonts w:cstheme="minorHAnsi"/>
          <w:sz w:val="24"/>
          <w:szCs w:val="24"/>
        </w:rPr>
        <w:t xml:space="preserve">. </w:t>
      </w:r>
      <w:r w:rsidRPr="004D70F5">
        <w:rPr>
          <w:rFonts w:cstheme="minorHAnsi"/>
          <w:sz w:val="24"/>
          <w:szCs w:val="24"/>
        </w:rPr>
        <w:t>Validation should be done using a combination of temperature mapping and biological indicator.</w:t>
      </w:r>
      <w:r>
        <w:rPr>
          <w:rFonts w:cstheme="minorHAnsi"/>
          <w:sz w:val="24"/>
          <w:szCs w:val="24"/>
        </w:rPr>
        <w:t xml:space="preserve"> </w:t>
      </w:r>
    </w:p>
    <w:p w14:paraId="2BA5CB1D" w14:textId="77777777" w:rsidR="001904EB" w:rsidRPr="001904EB" w:rsidRDefault="001904EB" w:rsidP="009A297D">
      <w:pPr>
        <w:pStyle w:val="ListParagraph"/>
        <w:numPr>
          <w:ilvl w:val="1"/>
          <w:numId w:val="11"/>
        </w:numPr>
        <w:spacing w:after="0"/>
        <w:jc w:val="both"/>
        <w:rPr>
          <w:rFonts w:cstheme="minorHAnsi"/>
          <w:sz w:val="24"/>
          <w:szCs w:val="24"/>
        </w:rPr>
      </w:pPr>
      <w:r>
        <w:rPr>
          <w:rFonts w:cstheme="minorHAnsi"/>
          <w:sz w:val="24"/>
          <w:szCs w:val="24"/>
        </w:rPr>
        <w:t xml:space="preserve">Suitable test micro-organism: </w:t>
      </w:r>
      <w:r>
        <w:rPr>
          <w:rFonts w:cstheme="minorHAnsi"/>
          <w:i/>
          <w:sz w:val="24"/>
          <w:szCs w:val="24"/>
        </w:rPr>
        <w:t>Bacillus atrophae</w:t>
      </w:r>
      <w:r w:rsidRPr="00067694">
        <w:rPr>
          <w:rFonts w:cstheme="minorHAnsi"/>
          <w:i/>
          <w:sz w:val="24"/>
          <w:szCs w:val="24"/>
        </w:rPr>
        <w:t>us</w:t>
      </w:r>
      <w:r>
        <w:rPr>
          <w:rFonts w:cstheme="minorHAnsi"/>
          <w:sz w:val="24"/>
          <w:szCs w:val="24"/>
        </w:rPr>
        <w:t xml:space="preserve"> (e.g. strains ATCC 9372, NCIMB </w:t>
      </w:r>
      <w:r w:rsidRPr="001904EB">
        <w:rPr>
          <w:rFonts w:cstheme="minorHAnsi"/>
          <w:sz w:val="24"/>
          <w:szCs w:val="24"/>
        </w:rPr>
        <w:t xml:space="preserve">8058, NRRL B-4418, CIP 77.18), at temperatures between </w:t>
      </w:r>
      <w:r w:rsidRPr="001904EB">
        <w:rPr>
          <w:rFonts w:cstheme="minorHAnsi"/>
          <w:sz w:val="24"/>
          <w:szCs w:val="24"/>
          <w:lang w:val="en-GB"/>
        </w:rPr>
        <w:t>160 °C and 180 °C.</w:t>
      </w:r>
    </w:p>
    <w:p w14:paraId="126DDC53" w14:textId="68827A9D" w:rsidR="001904EB" w:rsidRPr="001904EB" w:rsidRDefault="001904EB" w:rsidP="009A297D">
      <w:pPr>
        <w:pStyle w:val="ListParagraph"/>
        <w:numPr>
          <w:ilvl w:val="1"/>
          <w:numId w:val="11"/>
        </w:numPr>
        <w:spacing w:after="0"/>
        <w:jc w:val="both"/>
        <w:rPr>
          <w:rFonts w:cstheme="minorHAnsi"/>
          <w:sz w:val="24"/>
          <w:szCs w:val="24"/>
        </w:rPr>
      </w:pPr>
      <w:r w:rsidRPr="001904EB">
        <w:rPr>
          <w:rFonts w:cstheme="minorHAnsi"/>
          <w:sz w:val="24"/>
          <w:szCs w:val="24"/>
        </w:rPr>
        <w:t xml:space="preserve">Specific standard to be considered: </w:t>
      </w:r>
      <w:r w:rsidRPr="001904EB">
        <w:rPr>
          <w:rFonts w:cstheme="minorHAnsi"/>
          <w:sz w:val="24"/>
          <w:szCs w:val="24"/>
          <w:lang w:val="en-GB"/>
        </w:rPr>
        <w:t xml:space="preserve">ISO 20857:2010 </w:t>
      </w:r>
      <w:r w:rsidRPr="001904EB">
        <w:rPr>
          <w:rFonts w:cstheme="minorHAnsi"/>
          <w:i/>
          <w:sz w:val="24"/>
          <w:szCs w:val="24"/>
          <w:lang w:val="en-GB"/>
        </w:rPr>
        <w:t xml:space="preserve">Sterilization of health care products </w:t>
      </w:r>
      <w:r w:rsidRPr="001904EB">
        <w:rPr>
          <w:rFonts w:cstheme="minorHAnsi"/>
          <w:sz w:val="24"/>
          <w:szCs w:val="24"/>
          <w:lang w:val="en-GB"/>
        </w:rPr>
        <w:t>— Dry heat — Requirements for the development, validation and routine control of a sterilization process for medical devices</w:t>
      </w:r>
    </w:p>
    <w:p w14:paraId="1BAA05E4" w14:textId="77777777" w:rsidR="001904EB" w:rsidRPr="007843C0" w:rsidRDefault="001904EB" w:rsidP="001904EB">
      <w:pPr>
        <w:pStyle w:val="ListParagraph"/>
        <w:spacing w:after="0"/>
        <w:ind w:left="1440"/>
        <w:jc w:val="both"/>
        <w:rPr>
          <w:rFonts w:cstheme="minorHAnsi"/>
          <w:sz w:val="24"/>
          <w:szCs w:val="24"/>
        </w:rPr>
      </w:pPr>
    </w:p>
    <w:p w14:paraId="64B0B5F8" w14:textId="5DEEA5ED" w:rsidR="001904EB" w:rsidRPr="00074A23" w:rsidRDefault="00760A81" w:rsidP="00760A81">
      <w:pPr>
        <w:pStyle w:val="Heading3"/>
        <w:rPr>
          <w:rStyle w:val="Heading3Char"/>
        </w:rPr>
      </w:pPr>
      <w:bookmarkStart w:id="38" w:name="_Toc41427173"/>
      <w:r w:rsidRPr="00074A23">
        <w:rPr>
          <w:rStyle w:val="Heading3Char"/>
        </w:rPr>
        <w:t>5</w:t>
      </w:r>
      <w:r w:rsidR="001904EB" w:rsidRPr="00074A23">
        <w:rPr>
          <w:rStyle w:val="Heading3Char"/>
        </w:rPr>
        <w:t>.4.3. Irradiation</w:t>
      </w:r>
      <w:bookmarkEnd w:id="38"/>
    </w:p>
    <w:p w14:paraId="6A41E97F" w14:textId="735AF1B1" w:rsidR="001904EB" w:rsidRPr="00D90D1C" w:rsidRDefault="001904EB" w:rsidP="001904EB">
      <w:pPr>
        <w:spacing w:after="0"/>
        <w:jc w:val="both"/>
        <w:rPr>
          <w:rFonts w:cstheme="minorHAnsi"/>
          <w:sz w:val="24"/>
          <w:szCs w:val="24"/>
          <w:lang w:val="en-GB"/>
        </w:rPr>
      </w:pPr>
      <w:r>
        <w:rPr>
          <w:rFonts w:cstheme="minorHAnsi"/>
          <w:sz w:val="24"/>
          <w:szCs w:val="24"/>
          <w:lang w:val="en-GB"/>
        </w:rPr>
        <w:t xml:space="preserve">Sterilisation by irradiation is achieved by gamma rays, accelerated electron beams or x-rays. The reference absorbed dose is 25 kGy and dose should never be less than 15 kGy. </w:t>
      </w:r>
      <w:r w:rsidRPr="006E2693">
        <w:rPr>
          <w:rFonts w:cstheme="minorHAnsi"/>
          <w:sz w:val="24"/>
          <w:szCs w:val="24"/>
          <w:lang w:val="en-GB"/>
        </w:rPr>
        <w:t>Depending on bi</w:t>
      </w:r>
      <w:r>
        <w:rPr>
          <w:rFonts w:cstheme="minorHAnsi"/>
          <w:sz w:val="24"/>
          <w:szCs w:val="24"/>
          <w:lang w:val="en-GB"/>
        </w:rPr>
        <w:t xml:space="preserve">oburden, ≥ 25 kGy irradiation </w:t>
      </w:r>
      <w:r w:rsidRPr="006E2693">
        <w:rPr>
          <w:rFonts w:cstheme="minorHAnsi"/>
          <w:sz w:val="24"/>
          <w:szCs w:val="24"/>
          <w:lang w:val="en-GB"/>
        </w:rPr>
        <w:t xml:space="preserve">dose may be </w:t>
      </w:r>
      <w:r>
        <w:rPr>
          <w:rFonts w:cstheme="minorHAnsi"/>
          <w:sz w:val="24"/>
          <w:szCs w:val="24"/>
          <w:lang w:val="en-GB"/>
        </w:rPr>
        <w:t xml:space="preserve">required for sterilisation of bacteria and fungi. Quite often </w:t>
      </w:r>
      <w:r w:rsidRPr="006E2693">
        <w:rPr>
          <w:rFonts w:cstheme="minorHAnsi"/>
          <w:sz w:val="24"/>
          <w:szCs w:val="24"/>
          <w:lang w:val="en-GB"/>
        </w:rPr>
        <w:t>≥ 3</w:t>
      </w:r>
      <w:r>
        <w:rPr>
          <w:rFonts w:cstheme="minorHAnsi"/>
          <w:sz w:val="24"/>
          <w:szCs w:val="24"/>
          <w:lang w:val="en-GB"/>
        </w:rPr>
        <w:t xml:space="preserve">4 kGy may be required for virus inactivation, since many viruses are resistant to irradiation and therefore viral inactivation data must be supported by appropriate marker viruses (EDQM T&amp;C guide 8.6.2.1). </w:t>
      </w:r>
      <w:r w:rsidRPr="00D90D1C">
        <w:rPr>
          <w:rFonts w:cstheme="minorHAnsi"/>
          <w:sz w:val="24"/>
          <w:szCs w:val="24"/>
          <w:lang w:val="en-GB"/>
        </w:rPr>
        <w:t>Validation is usually performed by using dosimeters placed throughout the load.</w:t>
      </w:r>
      <w:r>
        <w:rPr>
          <w:rFonts w:cstheme="minorHAnsi"/>
          <w:sz w:val="24"/>
          <w:szCs w:val="24"/>
          <w:lang w:val="en-GB"/>
        </w:rPr>
        <w:t xml:space="preserve"> </w:t>
      </w:r>
    </w:p>
    <w:p w14:paraId="7DA79762" w14:textId="7CF78ACB" w:rsidR="001904EB" w:rsidRPr="001904EB" w:rsidRDefault="001904EB" w:rsidP="009A297D">
      <w:pPr>
        <w:pStyle w:val="ListParagraph"/>
        <w:numPr>
          <w:ilvl w:val="0"/>
          <w:numId w:val="9"/>
        </w:numPr>
        <w:spacing w:after="0"/>
        <w:ind w:left="1418"/>
        <w:jc w:val="both"/>
        <w:rPr>
          <w:rFonts w:cstheme="minorHAnsi"/>
          <w:sz w:val="24"/>
          <w:szCs w:val="24"/>
        </w:rPr>
      </w:pPr>
      <w:r>
        <w:rPr>
          <w:rFonts w:cstheme="minorHAnsi"/>
          <w:sz w:val="24"/>
          <w:szCs w:val="24"/>
        </w:rPr>
        <w:lastRenderedPageBreak/>
        <w:t>Suitable t</w:t>
      </w:r>
      <w:r w:rsidRPr="00587A60">
        <w:rPr>
          <w:rFonts w:cstheme="minorHAnsi"/>
          <w:sz w:val="24"/>
          <w:szCs w:val="24"/>
        </w:rPr>
        <w:t xml:space="preserve">est </w:t>
      </w:r>
      <w:r>
        <w:rPr>
          <w:rFonts w:cstheme="minorHAnsi"/>
          <w:sz w:val="24"/>
          <w:szCs w:val="24"/>
        </w:rPr>
        <w:t>micro-org</w:t>
      </w:r>
      <w:r w:rsidRPr="00587A60">
        <w:rPr>
          <w:rFonts w:cstheme="minorHAnsi"/>
          <w:sz w:val="24"/>
          <w:szCs w:val="24"/>
        </w:rPr>
        <w:t xml:space="preserve">anism: </w:t>
      </w:r>
      <w:r w:rsidRPr="00587A60">
        <w:rPr>
          <w:rFonts w:cstheme="minorHAnsi"/>
          <w:i/>
          <w:sz w:val="24"/>
          <w:szCs w:val="24"/>
        </w:rPr>
        <w:t>Bacillus pumilus</w:t>
      </w:r>
      <w:r w:rsidRPr="00587A60">
        <w:rPr>
          <w:rFonts w:cstheme="minorHAnsi"/>
          <w:sz w:val="24"/>
          <w:szCs w:val="24"/>
        </w:rPr>
        <w:t xml:space="preserve"> (e.g. strains ATCC 27142, NCTC </w:t>
      </w:r>
      <w:r w:rsidRPr="001904EB">
        <w:rPr>
          <w:rFonts w:cstheme="minorHAnsi"/>
          <w:sz w:val="24"/>
          <w:szCs w:val="24"/>
        </w:rPr>
        <w:t xml:space="preserve">10327, NCIMB 10692, CIP 77.25) </w:t>
      </w:r>
      <w:r w:rsidR="00040CB2">
        <w:rPr>
          <w:rFonts w:cstheme="minorHAnsi"/>
          <w:sz w:val="24"/>
          <w:szCs w:val="24"/>
          <w:lang w:val="en-GB"/>
        </w:rPr>
        <w:t>For this method, b</w:t>
      </w:r>
      <w:r w:rsidR="00040CB2" w:rsidRPr="00D90D1C">
        <w:rPr>
          <w:rFonts w:cstheme="minorHAnsi"/>
          <w:sz w:val="24"/>
          <w:szCs w:val="24"/>
          <w:lang w:val="en-GB"/>
        </w:rPr>
        <w:t xml:space="preserve">iological indicators are not </w:t>
      </w:r>
      <w:r w:rsidR="00C40F2B">
        <w:rPr>
          <w:rFonts w:cstheme="minorHAnsi"/>
          <w:sz w:val="24"/>
          <w:szCs w:val="24"/>
          <w:lang w:val="en-GB"/>
        </w:rPr>
        <w:t xml:space="preserve">always </w:t>
      </w:r>
      <w:r w:rsidR="00040CB2" w:rsidRPr="00D90D1C">
        <w:rPr>
          <w:rFonts w:cstheme="minorHAnsi"/>
          <w:sz w:val="24"/>
          <w:szCs w:val="24"/>
          <w:lang w:val="en-GB"/>
        </w:rPr>
        <w:t>necessary</w:t>
      </w:r>
      <w:r w:rsidR="00040CB2">
        <w:rPr>
          <w:rFonts w:cstheme="minorHAnsi"/>
          <w:sz w:val="24"/>
          <w:szCs w:val="24"/>
          <w:lang w:val="en-GB"/>
        </w:rPr>
        <w:t>,</w:t>
      </w:r>
      <w:r w:rsidR="00040CB2" w:rsidRPr="00D90D1C">
        <w:rPr>
          <w:rFonts w:cstheme="minorHAnsi"/>
          <w:sz w:val="24"/>
          <w:szCs w:val="24"/>
          <w:lang w:val="en-GB"/>
        </w:rPr>
        <w:t xml:space="preserve"> but may be required for the validation of BTC products</w:t>
      </w:r>
      <w:r w:rsidR="002D0AE0">
        <w:rPr>
          <w:rFonts w:cstheme="minorHAnsi"/>
          <w:sz w:val="24"/>
          <w:szCs w:val="24"/>
          <w:lang w:val="en-GB"/>
        </w:rPr>
        <w:t xml:space="preserve"> (Ph. Eur. 5.1.2)</w:t>
      </w:r>
      <w:r w:rsidR="00040CB2" w:rsidRPr="00D90D1C">
        <w:rPr>
          <w:rFonts w:cstheme="minorHAnsi"/>
          <w:sz w:val="24"/>
          <w:szCs w:val="24"/>
          <w:lang w:val="en-GB"/>
        </w:rPr>
        <w:t xml:space="preserve">. </w:t>
      </w:r>
    </w:p>
    <w:p w14:paraId="21677A2C" w14:textId="6705AE7A" w:rsidR="001904EB" w:rsidRPr="001904EB" w:rsidRDefault="001904EB" w:rsidP="009A297D">
      <w:pPr>
        <w:pStyle w:val="ListParagraph"/>
        <w:numPr>
          <w:ilvl w:val="0"/>
          <w:numId w:val="9"/>
        </w:numPr>
        <w:spacing w:after="0"/>
        <w:ind w:left="1418"/>
        <w:jc w:val="both"/>
        <w:rPr>
          <w:rFonts w:cstheme="minorHAnsi"/>
          <w:sz w:val="24"/>
          <w:szCs w:val="24"/>
        </w:rPr>
      </w:pPr>
      <w:r w:rsidRPr="001904EB">
        <w:rPr>
          <w:rFonts w:cstheme="minorHAnsi"/>
          <w:sz w:val="24"/>
          <w:szCs w:val="24"/>
        </w:rPr>
        <w:t xml:space="preserve">Specific standards to be considered: </w:t>
      </w:r>
      <w:r w:rsidRPr="001904EB">
        <w:rPr>
          <w:rFonts w:cstheme="minorHAnsi"/>
          <w:sz w:val="24"/>
          <w:szCs w:val="24"/>
          <w:lang w:val="en-GB"/>
        </w:rPr>
        <w:t xml:space="preserve">ISO 11137-2: </w:t>
      </w:r>
      <w:r w:rsidRPr="001904EB">
        <w:rPr>
          <w:rFonts w:cstheme="minorHAnsi"/>
          <w:i/>
          <w:sz w:val="24"/>
          <w:szCs w:val="24"/>
          <w:lang w:val="en-GB"/>
        </w:rPr>
        <w:t>Sterilization of health care products</w:t>
      </w:r>
      <w:r w:rsidRPr="001904EB">
        <w:rPr>
          <w:rFonts w:cstheme="minorHAnsi"/>
          <w:sz w:val="24"/>
          <w:szCs w:val="24"/>
          <w:lang w:val="en-GB"/>
        </w:rPr>
        <w:t xml:space="preserve"> -- Radiation -- Part 2: Establishing the sterilization dose</w:t>
      </w:r>
    </w:p>
    <w:p w14:paraId="19C6AF4C" w14:textId="62B6A295" w:rsidR="001904EB" w:rsidRPr="00C573BA" w:rsidRDefault="001904EB" w:rsidP="001904EB">
      <w:pPr>
        <w:spacing w:after="0"/>
        <w:ind w:left="1418" w:firstLine="22"/>
        <w:jc w:val="both"/>
        <w:rPr>
          <w:rFonts w:cstheme="minorHAnsi"/>
          <w:sz w:val="24"/>
          <w:szCs w:val="24"/>
          <w:lang w:val="en"/>
        </w:rPr>
      </w:pPr>
      <w:r w:rsidRPr="001904EB">
        <w:rPr>
          <w:rFonts w:cstheme="minorHAnsi"/>
          <w:sz w:val="24"/>
          <w:szCs w:val="24"/>
          <w:lang w:val="en-GB"/>
        </w:rPr>
        <w:t>ISO 11737-2:</w:t>
      </w:r>
      <w:r w:rsidRPr="001904EB">
        <w:rPr>
          <w:rFonts w:eastAsiaTheme="minorHAnsi" w:cstheme="minorHAnsi"/>
          <w:color w:val="333333"/>
          <w:spacing w:val="-15"/>
          <w:sz w:val="24"/>
          <w:szCs w:val="24"/>
          <w:lang w:val="en" w:eastAsia="en-US"/>
        </w:rPr>
        <w:t xml:space="preserve"> </w:t>
      </w:r>
      <w:r w:rsidRPr="001904EB">
        <w:rPr>
          <w:rFonts w:cstheme="minorHAnsi"/>
          <w:i/>
          <w:sz w:val="24"/>
          <w:szCs w:val="24"/>
          <w:lang w:val="en"/>
        </w:rPr>
        <w:t>Sterilization of medical devices</w:t>
      </w:r>
      <w:r w:rsidRPr="001904EB">
        <w:rPr>
          <w:rFonts w:cstheme="minorHAnsi"/>
          <w:sz w:val="24"/>
          <w:szCs w:val="24"/>
          <w:lang w:val="en"/>
        </w:rPr>
        <w:t xml:space="preserve"> -- Microbiological methods -- Part 2: Tests of sterility performed in the definition, validation and maintenance of a sterilization process</w:t>
      </w:r>
    </w:p>
    <w:p w14:paraId="763FAAC2" w14:textId="77777777" w:rsidR="001904EB" w:rsidRPr="006A7DFA" w:rsidRDefault="001904EB" w:rsidP="001904EB">
      <w:pPr>
        <w:spacing w:after="0"/>
        <w:jc w:val="both"/>
        <w:rPr>
          <w:rFonts w:cstheme="minorHAnsi"/>
          <w:sz w:val="24"/>
          <w:szCs w:val="24"/>
        </w:rPr>
      </w:pPr>
    </w:p>
    <w:p w14:paraId="0386BE81" w14:textId="05E4B606" w:rsidR="001904EB" w:rsidRPr="00074A23" w:rsidRDefault="00760A81" w:rsidP="00760A81">
      <w:pPr>
        <w:pStyle w:val="Heading3"/>
        <w:rPr>
          <w:rStyle w:val="Heading3Char"/>
        </w:rPr>
      </w:pPr>
      <w:bookmarkStart w:id="39" w:name="_Toc41427174"/>
      <w:r w:rsidRPr="00074A23">
        <w:rPr>
          <w:rStyle w:val="Heading3Char"/>
        </w:rPr>
        <w:t>5</w:t>
      </w:r>
      <w:r w:rsidR="001904EB" w:rsidRPr="00074A23">
        <w:rPr>
          <w:rStyle w:val="Heading3Char"/>
        </w:rPr>
        <w:t>.4.4. Gas sterilisation</w:t>
      </w:r>
      <w:bookmarkEnd w:id="39"/>
    </w:p>
    <w:p w14:paraId="63470F3D" w14:textId="75534171" w:rsidR="001904EB" w:rsidRPr="008D21A1" w:rsidRDefault="001904EB" w:rsidP="001904EB">
      <w:pPr>
        <w:spacing w:after="0"/>
        <w:jc w:val="both"/>
        <w:rPr>
          <w:rFonts w:cstheme="minorHAnsi"/>
          <w:sz w:val="24"/>
          <w:szCs w:val="24"/>
        </w:rPr>
      </w:pPr>
      <w:r>
        <w:rPr>
          <w:rFonts w:cstheme="minorHAnsi"/>
          <w:sz w:val="24"/>
          <w:szCs w:val="24"/>
        </w:rPr>
        <w:t>Multiple gas sterilisation processes are currently used and they are divided in two categories: alkylating agents (</w:t>
      </w:r>
      <w:r w:rsidR="00E55E3A">
        <w:rPr>
          <w:rFonts w:cstheme="minorHAnsi"/>
          <w:sz w:val="24"/>
          <w:szCs w:val="24"/>
        </w:rPr>
        <w:t xml:space="preserve">e.g. </w:t>
      </w:r>
      <w:r>
        <w:rPr>
          <w:rFonts w:cstheme="minorHAnsi"/>
          <w:sz w:val="24"/>
          <w:szCs w:val="24"/>
        </w:rPr>
        <w:t>ethylene oxide) and oxidizing agents (</w:t>
      </w:r>
      <w:r w:rsidR="00E55E3A">
        <w:rPr>
          <w:rFonts w:cstheme="minorHAnsi"/>
          <w:sz w:val="24"/>
          <w:szCs w:val="24"/>
        </w:rPr>
        <w:t xml:space="preserve">e.g. </w:t>
      </w:r>
      <w:r>
        <w:rPr>
          <w:rFonts w:cstheme="minorHAnsi"/>
          <w:sz w:val="24"/>
          <w:szCs w:val="24"/>
        </w:rPr>
        <w:t xml:space="preserve">hydrogen peroxide and peracedic acid). With all options, sufficient gas and moisture penetration is essential and thus gas concentration, exposure time, temperature and humidity are the parameters to follow. </w:t>
      </w:r>
      <w:r w:rsidRPr="00A87643">
        <w:rPr>
          <w:rFonts w:cstheme="minorHAnsi"/>
          <w:sz w:val="24"/>
          <w:szCs w:val="24"/>
        </w:rPr>
        <w:t>It is the responsibility of the user to define the suitability of the biological indicator</w:t>
      </w:r>
      <w:r>
        <w:rPr>
          <w:rFonts w:cstheme="minorHAnsi"/>
          <w:sz w:val="24"/>
          <w:szCs w:val="24"/>
        </w:rPr>
        <w:t xml:space="preserve"> for reactive chemical in question</w:t>
      </w:r>
      <w:r w:rsidRPr="00A87643">
        <w:rPr>
          <w:rFonts w:cstheme="minorHAnsi"/>
          <w:sz w:val="24"/>
          <w:szCs w:val="24"/>
        </w:rPr>
        <w:t xml:space="preserve">. </w:t>
      </w:r>
      <w:r w:rsidRPr="006204BC">
        <w:rPr>
          <w:rFonts w:cstheme="minorHAnsi"/>
          <w:sz w:val="24"/>
          <w:szCs w:val="24"/>
        </w:rPr>
        <w:t xml:space="preserve">It should be noted that </w:t>
      </w:r>
      <w:r w:rsidRPr="006204BC">
        <w:rPr>
          <w:rFonts w:cstheme="minorHAnsi"/>
          <w:sz w:val="24"/>
          <w:szCs w:val="24"/>
          <w:lang w:val="en-GB"/>
        </w:rPr>
        <w:t>the levels of residual toxic substances after sterilisation must be minimised</w:t>
      </w:r>
      <w:r w:rsidR="003C1420">
        <w:rPr>
          <w:rFonts w:cstheme="minorHAnsi"/>
          <w:sz w:val="24"/>
          <w:szCs w:val="24"/>
          <w:lang w:val="en-GB"/>
        </w:rPr>
        <w:t xml:space="preserve"> (</w:t>
      </w:r>
      <w:r w:rsidR="007B506D">
        <w:rPr>
          <w:rFonts w:cstheme="minorHAnsi"/>
          <w:sz w:val="24"/>
          <w:szCs w:val="24"/>
          <w:lang w:val="en-GB"/>
        </w:rPr>
        <w:t>e.g.</w:t>
      </w:r>
      <w:r w:rsidR="00B54712">
        <w:rPr>
          <w:rFonts w:cstheme="minorHAnsi"/>
          <w:sz w:val="24"/>
          <w:szCs w:val="24"/>
          <w:lang w:val="en-GB"/>
        </w:rPr>
        <w:t xml:space="preserve"> </w:t>
      </w:r>
      <w:r w:rsidR="003C1420" w:rsidRPr="003C1420">
        <w:rPr>
          <w:rFonts w:cstheme="minorHAnsi"/>
          <w:sz w:val="24"/>
          <w:szCs w:val="24"/>
          <w:lang w:val="en-GB"/>
        </w:rPr>
        <w:t>residual ethylene oxide in the product should not exceed a limit of 1 ppm</w:t>
      </w:r>
      <w:r w:rsidR="003C1420">
        <w:rPr>
          <w:rFonts w:cstheme="minorHAnsi"/>
          <w:sz w:val="24"/>
          <w:szCs w:val="24"/>
          <w:lang w:val="en-GB"/>
        </w:rPr>
        <w:t>,</w:t>
      </w:r>
      <w:r w:rsidR="008D21A1">
        <w:rPr>
          <w:rFonts w:cstheme="minorHAnsi"/>
          <w:sz w:val="24"/>
          <w:szCs w:val="24"/>
          <w:lang w:val="en-GB"/>
        </w:rPr>
        <w:t xml:space="preserve"> </w:t>
      </w:r>
      <w:r w:rsidR="008D21A1" w:rsidRPr="00B01E47">
        <w:rPr>
          <w:rFonts w:cstheme="minorHAnsi"/>
          <w:sz w:val="24"/>
          <w:szCs w:val="24"/>
          <w:lang w:val="en-GB"/>
        </w:rPr>
        <w:t>CPMP/QWP/159/01</w:t>
      </w:r>
      <w:r w:rsidR="00425892">
        <w:rPr>
          <w:rFonts w:cstheme="minorHAnsi"/>
          <w:sz w:val="24"/>
          <w:szCs w:val="24"/>
          <w:lang w:val="en-GB"/>
        </w:rPr>
        <w:t>)</w:t>
      </w:r>
    </w:p>
    <w:p w14:paraId="38206FBA" w14:textId="77777777" w:rsidR="001904EB" w:rsidRDefault="001904EB" w:rsidP="009A297D">
      <w:pPr>
        <w:pStyle w:val="ListParagraph"/>
        <w:numPr>
          <w:ilvl w:val="0"/>
          <w:numId w:val="9"/>
        </w:numPr>
        <w:spacing w:after="0"/>
        <w:ind w:left="1418"/>
        <w:jc w:val="both"/>
        <w:rPr>
          <w:rFonts w:cstheme="minorHAnsi"/>
          <w:sz w:val="24"/>
          <w:szCs w:val="24"/>
        </w:rPr>
      </w:pPr>
      <w:r>
        <w:rPr>
          <w:rFonts w:cstheme="minorHAnsi"/>
          <w:sz w:val="24"/>
          <w:szCs w:val="24"/>
        </w:rPr>
        <w:t>Suitable test micro-organisms:</w:t>
      </w:r>
    </w:p>
    <w:p w14:paraId="4F6B00DF" w14:textId="77777777" w:rsidR="001904EB" w:rsidRDefault="001904EB" w:rsidP="001904EB">
      <w:pPr>
        <w:spacing w:after="0"/>
        <w:ind w:left="1418" w:firstLine="22"/>
        <w:jc w:val="both"/>
        <w:rPr>
          <w:rFonts w:cstheme="minorHAnsi"/>
          <w:sz w:val="24"/>
          <w:szCs w:val="24"/>
        </w:rPr>
      </w:pPr>
      <w:r w:rsidRPr="00523800">
        <w:rPr>
          <w:rFonts w:cstheme="minorHAnsi"/>
          <w:sz w:val="24"/>
          <w:szCs w:val="24"/>
        </w:rPr>
        <w:t>Ethyleneoxide: Bacillus atrophaeus (e.g. strains ATCC 9372, NCIMB 8058, NRRL B-4418, CIP 77.18)</w:t>
      </w:r>
      <w:r w:rsidRPr="00523800">
        <w:rPr>
          <w:rFonts w:cstheme="minorHAnsi"/>
          <w:sz w:val="24"/>
          <w:szCs w:val="24"/>
          <w:lang w:val="en-GB"/>
        </w:rPr>
        <w:t>; Hydrogen peroxide</w:t>
      </w:r>
      <w:r w:rsidRPr="00523800">
        <w:rPr>
          <w:rFonts w:cstheme="minorHAnsi"/>
          <w:sz w:val="24"/>
          <w:szCs w:val="24"/>
        </w:rPr>
        <w:t xml:space="preserve">: </w:t>
      </w:r>
      <w:r w:rsidRPr="00523800">
        <w:rPr>
          <w:rFonts w:cstheme="minorHAnsi"/>
          <w:i/>
          <w:sz w:val="24"/>
          <w:szCs w:val="24"/>
        </w:rPr>
        <w:t>Geobacillus stearothermophilus</w:t>
      </w:r>
      <w:r w:rsidRPr="00523800">
        <w:rPr>
          <w:rFonts w:cstheme="minorHAnsi"/>
          <w:sz w:val="24"/>
          <w:szCs w:val="24"/>
        </w:rPr>
        <w:t xml:space="preserve"> </w:t>
      </w:r>
    </w:p>
    <w:p w14:paraId="570D3DBB" w14:textId="4B7A8B9F" w:rsidR="001904EB" w:rsidRPr="001904EB" w:rsidRDefault="001904EB" w:rsidP="009A297D">
      <w:pPr>
        <w:pStyle w:val="ListParagraph"/>
        <w:numPr>
          <w:ilvl w:val="0"/>
          <w:numId w:val="12"/>
        </w:numPr>
        <w:spacing w:after="0"/>
        <w:ind w:left="1418"/>
        <w:jc w:val="both"/>
        <w:rPr>
          <w:rFonts w:cstheme="minorHAnsi"/>
          <w:sz w:val="24"/>
          <w:szCs w:val="24"/>
        </w:rPr>
      </w:pPr>
      <w:r w:rsidRPr="001904EB">
        <w:rPr>
          <w:rFonts w:cstheme="minorHAnsi"/>
          <w:sz w:val="24"/>
          <w:szCs w:val="24"/>
        </w:rPr>
        <w:t xml:space="preserve">Specific standard to be considered: </w:t>
      </w:r>
      <w:r w:rsidRPr="001904EB">
        <w:rPr>
          <w:rFonts w:cstheme="minorHAnsi"/>
          <w:sz w:val="24"/>
          <w:szCs w:val="24"/>
          <w:lang w:val="en-GB"/>
        </w:rPr>
        <w:t xml:space="preserve">ISO 11135:2014: </w:t>
      </w:r>
      <w:r w:rsidRPr="001904EB">
        <w:rPr>
          <w:rFonts w:cstheme="minorHAnsi"/>
          <w:i/>
          <w:sz w:val="24"/>
          <w:szCs w:val="24"/>
          <w:lang w:val="en-GB"/>
        </w:rPr>
        <w:t>Sterilization of health care products</w:t>
      </w:r>
      <w:r w:rsidRPr="001904EB">
        <w:rPr>
          <w:rFonts w:cstheme="minorHAnsi"/>
          <w:sz w:val="24"/>
          <w:szCs w:val="24"/>
          <w:lang w:val="en-GB"/>
        </w:rPr>
        <w:t xml:space="preserve"> - Ethylene oxide - Requirements for the development, validation and routine control of a sterilization process for medical devices</w:t>
      </w:r>
    </w:p>
    <w:p w14:paraId="32061D27" w14:textId="77777777" w:rsidR="001904EB" w:rsidRDefault="001904EB" w:rsidP="001904EB">
      <w:pPr>
        <w:spacing w:after="0"/>
        <w:ind w:left="1418" w:firstLine="22"/>
        <w:jc w:val="both"/>
        <w:rPr>
          <w:rFonts w:cstheme="minorHAnsi"/>
          <w:sz w:val="24"/>
          <w:szCs w:val="24"/>
        </w:rPr>
      </w:pPr>
    </w:p>
    <w:p w14:paraId="2F99426D" w14:textId="77777777" w:rsidR="001904EB" w:rsidRPr="00212133" w:rsidRDefault="001904EB" w:rsidP="001904EB">
      <w:pPr>
        <w:spacing w:after="0"/>
        <w:jc w:val="both"/>
        <w:rPr>
          <w:rFonts w:cstheme="minorHAnsi"/>
          <w:sz w:val="24"/>
          <w:szCs w:val="24"/>
          <w:lang w:val="en-GB"/>
        </w:rPr>
      </w:pPr>
    </w:p>
    <w:p w14:paraId="25962099" w14:textId="3282BA2F" w:rsidR="001904EB" w:rsidRPr="00476C49" w:rsidRDefault="00760A81" w:rsidP="00760A81">
      <w:pPr>
        <w:pStyle w:val="Heading3"/>
      </w:pPr>
      <w:bookmarkStart w:id="40" w:name="_Toc41427175"/>
      <w:r>
        <w:t>5</w:t>
      </w:r>
      <w:r w:rsidR="001904EB" w:rsidRPr="00476C49">
        <w:t>.</w:t>
      </w:r>
      <w:r w:rsidR="001904EB">
        <w:t>4.5</w:t>
      </w:r>
      <w:r w:rsidR="001904EB" w:rsidRPr="00476C49">
        <w:t>. Filtration</w:t>
      </w:r>
      <w:bookmarkEnd w:id="40"/>
    </w:p>
    <w:p w14:paraId="0B6D4EA0" w14:textId="7FFBD676" w:rsidR="001904EB" w:rsidRPr="00E14801" w:rsidRDefault="001904EB" w:rsidP="00E81151">
      <w:pPr>
        <w:spacing w:after="0"/>
        <w:jc w:val="both"/>
        <w:rPr>
          <w:rFonts w:cstheme="minorHAnsi"/>
          <w:sz w:val="24"/>
          <w:szCs w:val="24"/>
          <w:lang w:val="en-GB"/>
        </w:rPr>
      </w:pPr>
      <w:r>
        <w:rPr>
          <w:rFonts w:cstheme="minorHAnsi"/>
          <w:sz w:val="24"/>
          <w:szCs w:val="24"/>
          <w:lang w:val="en-GB"/>
        </w:rPr>
        <w:t xml:space="preserve">In contrast to other methods, the principle of membrane filtration is not inactivation but removal/reduction of micro-organisms. As a sterilisation method, the nominal pore size of the microporous membrane is not greater than 0.22 µm. </w:t>
      </w:r>
      <w:r w:rsidRPr="00D867AD">
        <w:rPr>
          <w:rFonts w:cstheme="minorHAnsi"/>
          <w:sz w:val="24"/>
          <w:szCs w:val="24"/>
          <w:lang w:val="en-GB"/>
        </w:rPr>
        <w:t>Before filtration</w:t>
      </w:r>
      <w:r>
        <w:rPr>
          <w:rFonts w:cstheme="minorHAnsi"/>
          <w:sz w:val="24"/>
          <w:szCs w:val="24"/>
          <w:lang w:val="en-GB"/>
        </w:rPr>
        <w:t>,</w:t>
      </w:r>
      <w:r w:rsidRPr="00D867AD">
        <w:rPr>
          <w:rFonts w:cstheme="minorHAnsi"/>
          <w:sz w:val="24"/>
          <w:szCs w:val="24"/>
          <w:lang w:val="en-GB"/>
        </w:rPr>
        <w:t xml:space="preserve"> filter capacity should be validated and the method should retain microbial challenge of at least 107 cfu/cm</w:t>
      </w:r>
      <w:r w:rsidRPr="00B54712">
        <w:rPr>
          <w:rFonts w:cstheme="minorHAnsi"/>
          <w:sz w:val="24"/>
          <w:szCs w:val="24"/>
          <w:vertAlign w:val="superscript"/>
          <w:lang w:val="en-GB"/>
        </w:rPr>
        <w:t>2</w:t>
      </w:r>
      <w:r w:rsidRPr="00D867AD">
        <w:rPr>
          <w:rFonts w:cstheme="minorHAnsi"/>
          <w:sz w:val="24"/>
          <w:szCs w:val="24"/>
          <w:lang w:val="en-GB"/>
        </w:rPr>
        <w:t xml:space="preserve"> on filter surface using suitable </w:t>
      </w:r>
      <w:r>
        <w:rPr>
          <w:rFonts w:cstheme="minorHAnsi"/>
          <w:sz w:val="24"/>
          <w:szCs w:val="24"/>
          <w:lang w:val="en-GB"/>
        </w:rPr>
        <w:t>micro-org</w:t>
      </w:r>
      <w:r w:rsidRPr="00D867AD">
        <w:rPr>
          <w:rFonts w:cstheme="minorHAnsi"/>
          <w:sz w:val="24"/>
          <w:szCs w:val="24"/>
          <w:lang w:val="en-GB"/>
        </w:rPr>
        <w:t>anism (Ph.</w:t>
      </w:r>
      <w:r w:rsidR="00E81151">
        <w:rPr>
          <w:rFonts w:cstheme="minorHAnsi"/>
          <w:sz w:val="24"/>
          <w:szCs w:val="24"/>
          <w:lang w:val="en-GB"/>
        </w:rPr>
        <w:t xml:space="preserve"> </w:t>
      </w:r>
      <w:r w:rsidRPr="00D867AD">
        <w:rPr>
          <w:rFonts w:cstheme="minorHAnsi"/>
          <w:sz w:val="24"/>
          <w:szCs w:val="24"/>
          <w:lang w:val="en-GB"/>
        </w:rPr>
        <w:t>Eur 5.1.2).</w:t>
      </w:r>
      <w:r>
        <w:rPr>
          <w:rFonts w:cstheme="minorHAnsi"/>
          <w:sz w:val="24"/>
          <w:szCs w:val="24"/>
          <w:lang w:val="en-GB"/>
        </w:rPr>
        <w:t xml:space="preserve"> It should be noted that f</w:t>
      </w:r>
      <w:r w:rsidRPr="00E14801">
        <w:rPr>
          <w:rFonts w:cstheme="minorHAnsi"/>
          <w:sz w:val="24"/>
          <w:szCs w:val="24"/>
          <w:lang w:val="en-GB"/>
        </w:rPr>
        <w:t xml:space="preserve">iltration is not suitable </w:t>
      </w:r>
      <w:r>
        <w:rPr>
          <w:rFonts w:cstheme="minorHAnsi"/>
          <w:sz w:val="24"/>
          <w:szCs w:val="24"/>
          <w:lang w:val="en-GB"/>
        </w:rPr>
        <w:t xml:space="preserve">sterilisation method </w:t>
      </w:r>
      <w:r w:rsidRPr="00E14801">
        <w:rPr>
          <w:rFonts w:cstheme="minorHAnsi"/>
          <w:sz w:val="24"/>
          <w:szCs w:val="24"/>
          <w:lang w:val="en-GB"/>
        </w:rPr>
        <w:t xml:space="preserve">for viruses and mycoplasma. </w:t>
      </w:r>
    </w:p>
    <w:p w14:paraId="7B6DF6B6" w14:textId="1E6D3B21" w:rsidR="001904EB" w:rsidRPr="006817C3" w:rsidRDefault="001904EB" w:rsidP="00E81151">
      <w:pPr>
        <w:pStyle w:val="ListParagraph"/>
        <w:numPr>
          <w:ilvl w:val="1"/>
          <w:numId w:val="10"/>
        </w:numPr>
        <w:spacing w:after="0"/>
        <w:jc w:val="both"/>
        <w:rPr>
          <w:rFonts w:cstheme="minorHAnsi"/>
          <w:sz w:val="24"/>
          <w:szCs w:val="24"/>
          <w:lang w:val="en-GB"/>
        </w:rPr>
      </w:pPr>
      <w:r>
        <w:rPr>
          <w:rFonts w:cstheme="minorHAnsi"/>
          <w:sz w:val="24"/>
          <w:szCs w:val="24"/>
        </w:rPr>
        <w:t xml:space="preserve">Suitable test micro-organism: </w:t>
      </w:r>
      <w:r>
        <w:rPr>
          <w:rFonts w:cstheme="minorHAnsi"/>
          <w:i/>
          <w:sz w:val="24"/>
          <w:szCs w:val="24"/>
        </w:rPr>
        <w:t xml:space="preserve">Brevundinomas diminuta </w:t>
      </w:r>
      <w:r w:rsidRPr="00B8693A">
        <w:rPr>
          <w:rFonts w:cstheme="minorHAnsi"/>
          <w:sz w:val="24"/>
          <w:szCs w:val="24"/>
        </w:rPr>
        <w:t>(w</w:t>
      </w:r>
      <w:r w:rsidRPr="00B8693A">
        <w:rPr>
          <w:rFonts w:cstheme="minorHAnsi"/>
          <w:sz w:val="24"/>
          <w:szCs w:val="24"/>
          <w:lang w:val="en-GB"/>
        </w:rPr>
        <w:t xml:space="preserve">ith </w:t>
      </w:r>
      <w:r w:rsidR="00E81151">
        <w:rPr>
          <w:rFonts w:cstheme="minorHAnsi"/>
          <w:sz w:val="24"/>
          <w:szCs w:val="24"/>
          <w:lang w:val="en-GB"/>
        </w:rPr>
        <w:t>nominal pore size ≤</w:t>
      </w:r>
      <w:r w:rsidR="00B54712">
        <w:rPr>
          <w:rFonts w:cstheme="minorHAnsi"/>
          <w:sz w:val="24"/>
          <w:szCs w:val="24"/>
          <w:lang w:val="en-GB"/>
        </w:rPr>
        <w:t>0.</w:t>
      </w:r>
      <w:r>
        <w:rPr>
          <w:rFonts w:cstheme="minorHAnsi"/>
          <w:sz w:val="24"/>
          <w:szCs w:val="24"/>
          <w:lang w:val="en-GB"/>
        </w:rPr>
        <w:t xml:space="preserve">22 µm) (ATCC 19146, NCIMB 11091, CIP 103020) as single cells suspension. </w:t>
      </w:r>
      <w:r>
        <w:rPr>
          <w:rFonts w:cstheme="minorHAnsi"/>
          <w:sz w:val="24"/>
          <w:szCs w:val="24"/>
        </w:rPr>
        <w:t xml:space="preserve">In </w:t>
      </w:r>
      <w:r>
        <w:rPr>
          <w:rFonts w:cstheme="minorHAnsi"/>
          <w:sz w:val="24"/>
          <w:szCs w:val="24"/>
        </w:rPr>
        <w:lastRenderedPageBreak/>
        <w:t>addition,</w:t>
      </w:r>
      <w:r w:rsidR="006C3634">
        <w:rPr>
          <w:rFonts w:cstheme="minorHAnsi"/>
          <w:sz w:val="24"/>
          <w:szCs w:val="24"/>
        </w:rPr>
        <w:t xml:space="preserve"> if possible,</w:t>
      </w:r>
      <w:r>
        <w:rPr>
          <w:rFonts w:cstheme="minorHAnsi"/>
          <w:sz w:val="24"/>
          <w:szCs w:val="24"/>
        </w:rPr>
        <w:t xml:space="preserve"> a suspension of vegetative bacterial cells </w:t>
      </w:r>
      <w:r w:rsidR="006C3634">
        <w:rPr>
          <w:rFonts w:cstheme="minorHAnsi"/>
          <w:sz w:val="24"/>
          <w:szCs w:val="24"/>
        </w:rPr>
        <w:t>representing the natural flora in question</w:t>
      </w:r>
      <w:r w:rsidR="00C66ADC">
        <w:rPr>
          <w:rFonts w:cstheme="minorHAnsi"/>
          <w:sz w:val="24"/>
          <w:szCs w:val="24"/>
        </w:rPr>
        <w:t>.</w:t>
      </w:r>
      <w:r>
        <w:rPr>
          <w:rFonts w:cstheme="minorHAnsi"/>
          <w:sz w:val="24"/>
          <w:szCs w:val="24"/>
        </w:rPr>
        <w:t xml:space="preserve"> </w:t>
      </w:r>
    </w:p>
    <w:p w14:paraId="449E92DC" w14:textId="12FFFF38" w:rsidR="001904EB" w:rsidRPr="001904EB" w:rsidRDefault="001904EB" w:rsidP="00E81151">
      <w:pPr>
        <w:pStyle w:val="ListParagraph"/>
        <w:numPr>
          <w:ilvl w:val="1"/>
          <w:numId w:val="10"/>
        </w:numPr>
        <w:spacing w:after="0"/>
        <w:jc w:val="both"/>
        <w:rPr>
          <w:rFonts w:cstheme="minorHAnsi"/>
          <w:sz w:val="24"/>
          <w:szCs w:val="24"/>
          <w:lang w:val="en-GB"/>
        </w:rPr>
      </w:pPr>
      <w:r w:rsidRPr="001904EB">
        <w:rPr>
          <w:rFonts w:cstheme="minorHAnsi"/>
          <w:sz w:val="24"/>
          <w:szCs w:val="24"/>
        </w:rPr>
        <w:t xml:space="preserve">Specific guidance to be considered: </w:t>
      </w:r>
      <w:r w:rsidRPr="001904EB">
        <w:rPr>
          <w:rFonts w:cstheme="minorHAnsi"/>
          <w:sz w:val="24"/>
          <w:szCs w:val="24"/>
          <w:lang w:val="en-GB"/>
        </w:rPr>
        <w:t>Filter integrity testing (bubble point test), GMP Guide, Annex 1</w:t>
      </w:r>
    </w:p>
    <w:p w14:paraId="1274EDBF" w14:textId="77777777" w:rsidR="001904EB" w:rsidRPr="00CE0C7D" w:rsidRDefault="001904EB" w:rsidP="001904EB">
      <w:pPr>
        <w:spacing w:after="0"/>
        <w:ind w:left="1080"/>
        <w:rPr>
          <w:rFonts w:cstheme="minorHAnsi"/>
          <w:sz w:val="24"/>
          <w:szCs w:val="24"/>
          <w:lang w:val="en-GB"/>
        </w:rPr>
      </w:pPr>
    </w:p>
    <w:p w14:paraId="2AD17A7A" w14:textId="1C39E5EB" w:rsidR="001904EB" w:rsidRDefault="00A747C9" w:rsidP="009A297D">
      <w:pPr>
        <w:pStyle w:val="Heading2"/>
        <w:numPr>
          <w:ilvl w:val="1"/>
          <w:numId w:val="17"/>
        </w:numPr>
      </w:pPr>
      <w:bookmarkStart w:id="41" w:name="_Toc41427176"/>
      <w:r w:rsidRPr="00760A81">
        <w:t xml:space="preserve">Information </w:t>
      </w:r>
      <w:r w:rsidR="007E1229">
        <w:t>on sterilisation</w:t>
      </w:r>
      <w:r w:rsidR="001904EB" w:rsidRPr="00760A81">
        <w:t xml:space="preserve"> validation</w:t>
      </w:r>
      <w:bookmarkEnd w:id="41"/>
      <w:r w:rsidR="001904EB" w:rsidRPr="00760A81">
        <w:t xml:space="preserve"> </w:t>
      </w:r>
    </w:p>
    <w:p w14:paraId="415455BD" w14:textId="4537E198" w:rsidR="001904EB" w:rsidRDefault="001904EB" w:rsidP="001904EB">
      <w:pPr>
        <w:jc w:val="both"/>
        <w:rPr>
          <w:rFonts w:cstheme="minorHAnsi"/>
          <w:sz w:val="24"/>
          <w:szCs w:val="24"/>
        </w:rPr>
      </w:pPr>
      <w:r w:rsidRPr="00CE0C7D">
        <w:rPr>
          <w:rFonts w:cstheme="minorHAnsi"/>
          <w:sz w:val="24"/>
          <w:szCs w:val="24"/>
        </w:rPr>
        <w:t>Validation</w:t>
      </w:r>
      <w:r>
        <w:rPr>
          <w:rFonts w:cstheme="minorHAnsi"/>
          <w:sz w:val="24"/>
          <w:szCs w:val="24"/>
        </w:rPr>
        <w:t xml:space="preserve"> </w:t>
      </w:r>
      <w:r w:rsidR="00BC12E7">
        <w:rPr>
          <w:rFonts w:cstheme="minorHAnsi"/>
          <w:sz w:val="24"/>
          <w:szCs w:val="24"/>
        </w:rPr>
        <w:t>should be planned and reported. P</w:t>
      </w:r>
      <w:r>
        <w:rPr>
          <w:rFonts w:cstheme="minorHAnsi"/>
          <w:sz w:val="24"/>
          <w:szCs w:val="24"/>
        </w:rPr>
        <w:t>lan/report should include the following relevant information:</w:t>
      </w:r>
    </w:p>
    <w:p w14:paraId="5B6A0F12" w14:textId="77777777" w:rsidR="001904EB" w:rsidRDefault="001904EB" w:rsidP="009A297D">
      <w:pPr>
        <w:pStyle w:val="ListParagraph"/>
        <w:numPr>
          <w:ilvl w:val="1"/>
          <w:numId w:val="10"/>
        </w:numPr>
        <w:jc w:val="both"/>
        <w:rPr>
          <w:rFonts w:cstheme="minorHAnsi"/>
          <w:sz w:val="24"/>
          <w:szCs w:val="24"/>
        </w:rPr>
      </w:pPr>
      <w:r w:rsidRPr="00CE0C7D">
        <w:rPr>
          <w:rFonts w:cstheme="minorHAnsi"/>
          <w:sz w:val="24"/>
          <w:szCs w:val="24"/>
        </w:rPr>
        <w:t>The object</w:t>
      </w:r>
      <w:r>
        <w:rPr>
          <w:rFonts w:cstheme="minorHAnsi"/>
          <w:sz w:val="24"/>
          <w:szCs w:val="24"/>
        </w:rPr>
        <w:t>(s)</w:t>
      </w:r>
      <w:r w:rsidRPr="00CE0C7D">
        <w:rPr>
          <w:rFonts w:cstheme="minorHAnsi"/>
          <w:sz w:val="24"/>
          <w:szCs w:val="24"/>
        </w:rPr>
        <w:t xml:space="preserve"> of </w:t>
      </w:r>
      <w:r>
        <w:rPr>
          <w:rFonts w:cstheme="minorHAnsi"/>
          <w:sz w:val="24"/>
          <w:szCs w:val="24"/>
        </w:rPr>
        <w:t>sterilisation.</w:t>
      </w:r>
    </w:p>
    <w:p w14:paraId="0ED11676" w14:textId="699189CA" w:rsidR="001904EB" w:rsidRDefault="001904EB" w:rsidP="009A297D">
      <w:pPr>
        <w:pStyle w:val="ListParagraph"/>
        <w:numPr>
          <w:ilvl w:val="1"/>
          <w:numId w:val="10"/>
        </w:numPr>
        <w:jc w:val="both"/>
        <w:rPr>
          <w:rFonts w:cstheme="minorHAnsi"/>
          <w:sz w:val="24"/>
          <w:szCs w:val="24"/>
        </w:rPr>
      </w:pPr>
      <w:r>
        <w:rPr>
          <w:rFonts w:cstheme="minorHAnsi"/>
          <w:sz w:val="24"/>
          <w:szCs w:val="24"/>
        </w:rPr>
        <w:t>The used sterilisation method and justification for selection why that particular method is chosen. Method selection should be based on the properties of the sterilisation object(s)</w:t>
      </w:r>
      <w:r w:rsidRPr="00D91698">
        <w:rPr>
          <w:rFonts w:cstheme="minorHAnsi"/>
          <w:sz w:val="24"/>
          <w:szCs w:val="24"/>
        </w:rPr>
        <w:t>.</w:t>
      </w:r>
    </w:p>
    <w:p w14:paraId="06575615" w14:textId="77777777" w:rsidR="001904EB" w:rsidRDefault="001904EB" w:rsidP="009A297D">
      <w:pPr>
        <w:pStyle w:val="ListParagraph"/>
        <w:numPr>
          <w:ilvl w:val="1"/>
          <w:numId w:val="10"/>
        </w:numPr>
        <w:jc w:val="both"/>
        <w:rPr>
          <w:rFonts w:cstheme="minorHAnsi"/>
          <w:sz w:val="24"/>
          <w:szCs w:val="24"/>
        </w:rPr>
      </w:pPr>
      <w:r>
        <w:rPr>
          <w:rFonts w:cstheme="minorHAnsi"/>
          <w:sz w:val="24"/>
          <w:szCs w:val="24"/>
        </w:rPr>
        <w:t>Selected biological indicator by which SAL is determined.</w:t>
      </w:r>
    </w:p>
    <w:p w14:paraId="5F8E135B" w14:textId="77777777" w:rsidR="001904EB" w:rsidRPr="00D91698" w:rsidRDefault="001904EB" w:rsidP="009A297D">
      <w:pPr>
        <w:pStyle w:val="ListParagraph"/>
        <w:numPr>
          <w:ilvl w:val="1"/>
          <w:numId w:val="10"/>
        </w:numPr>
        <w:jc w:val="both"/>
        <w:rPr>
          <w:rFonts w:cstheme="minorHAnsi"/>
          <w:sz w:val="24"/>
          <w:szCs w:val="24"/>
        </w:rPr>
      </w:pPr>
      <w:r>
        <w:rPr>
          <w:rFonts w:cstheme="minorHAnsi"/>
          <w:sz w:val="24"/>
          <w:szCs w:val="24"/>
        </w:rPr>
        <w:t xml:space="preserve">Validation procedure considering the above described critical parameters. Specific for the used sterilisation method. </w:t>
      </w:r>
    </w:p>
    <w:p w14:paraId="6686CE2D" w14:textId="5824F8B6" w:rsidR="0010243C" w:rsidRPr="00760A81" w:rsidRDefault="0010243C" w:rsidP="009A297D">
      <w:pPr>
        <w:pStyle w:val="Heading2"/>
        <w:numPr>
          <w:ilvl w:val="1"/>
          <w:numId w:val="17"/>
        </w:numPr>
      </w:pPr>
      <w:bookmarkStart w:id="42" w:name="_Toc41427177"/>
      <w:r w:rsidRPr="00760A81">
        <w:t>Effect of</w:t>
      </w:r>
      <w:r w:rsidR="00090EA8">
        <w:t xml:space="preserve"> sterilisation on tissue</w:t>
      </w:r>
      <w:r w:rsidRPr="00760A81">
        <w:t xml:space="preserve"> quality</w:t>
      </w:r>
      <w:bookmarkEnd w:id="42"/>
      <w:r w:rsidRPr="00760A81">
        <w:t xml:space="preserve"> </w:t>
      </w:r>
    </w:p>
    <w:p w14:paraId="1F5451D6" w14:textId="622D2AC5" w:rsidR="001838FF" w:rsidRDefault="001838FF" w:rsidP="00ED66B5">
      <w:pPr>
        <w:jc w:val="both"/>
        <w:rPr>
          <w:rFonts w:cstheme="minorHAnsi"/>
          <w:sz w:val="24"/>
          <w:szCs w:val="24"/>
        </w:rPr>
      </w:pPr>
      <w:r>
        <w:rPr>
          <w:rFonts w:cstheme="minorHAnsi"/>
          <w:sz w:val="24"/>
          <w:szCs w:val="24"/>
        </w:rPr>
        <w:t xml:space="preserve">Sterilisation </w:t>
      </w:r>
      <w:r w:rsidRPr="0096595B">
        <w:rPr>
          <w:rFonts w:cstheme="minorHAnsi"/>
          <w:sz w:val="24"/>
          <w:szCs w:val="24"/>
        </w:rPr>
        <w:t xml:space="preserve">must not render </w:t>
      </w:r>
      <w:r w:rsidR="0010243C">
        <w:rPr>
          <w:rFonts w:cstheme="minorHAnsi"/>
          <w:sz w:val="24"/>
          <w:szCs w:val="24"/>
        </w:rPr>
        <w:t>tissues</w:t>
      </w:r>
      <w:r>
        <w:rPr>
          <w:rFonts w:cstheme="minorHAnsi"/>
          <w:sz w:val="24"/>
          <w:szCs w:val="24"/>
        </w:rPr>
        <w:t xml:space="preserve"> clinically ineffective</w:t>
      </w:r>
      <w:r w:rsidRPr="00FC4F94">
        <w:rPr>
          <w:rFonts w:cstheme="minorHAnsi"/>
          <w:sz w:val="24"/>
          <w:szCs w:val="24"/>
        </w:rPr>
        <w:t xml:space="preserve"> </w:t>
      </w:r>
      <w:r>
        <w:rPr>
          <w:rFonts w:cstheme="minorHAnsi"/>
          <w:sz w:val="24"/>
          <w:szCs w:val="24"/>
        </w:rPr>
        <w:t xml:space="preserve">or </w:t>
      </w:r>
      <w:r w:rsidRPr="0096595B">
        <w:rPr>
          <w:rFonts w:cstheme="minorHAnsi"/>
          <w:sz w:val="24"/>
          <w:szCs w:val="24"/>
        </w:rPr>
        <w:t>harmful to the recipient</w:t>
      </w:r>
      <w:r>
        <w:rPr>
          <w:rFonts w:cstheme="minorHAnsi"/>
          <w:sz w:val="24"/>
          <w:szCs w:val="24"/>
        </w:rPr>
        <w:t xml:space="preserve"> neither adversely affect the essential properties.</w:t>
      </w:r>
      <w:r w:rsidR="00B45B85">
        <w:rPr>
          <w:rFonts w:cstheme="minorHAnsi"/>
          <w:sz w:val="24"/>
          <w:szCs w:val="24"/>
        </w:rPr>
        <w:t xml:space="preserve"> (ref. WP6/Annex 1</w:t>
      </w:r>
      <w:r w:rsidR="00AE43B4">
        <w:rPr>
          <w:rFonts w:cstheme="minorHAnsi"/>
          <w:sz w:val="24"/>
          <w:szCs w:val="24"/>
        </w:rPr>
        <w:t xml:space="preserve"> </w:t>
      </w:r>
      <w:r w:rsidR="00D818EC">
        <w:rPr>
          <w:rFonts w:cstheme="minorHAnsi"/>
          <w:sz w:val="24"/>
          <w:szCs w:val="24"/>
        </w:rPr>
        <w:t xml:space="preserve">and </w:t>
      </w:r>
      <w:r w:rsidR="00D818EC" w:rsidRPr="00D818EC">
        <w:rPr>
          <w:rFonts w:cstheme="minorHAnsi"/>
          <w:sz w:val="24"/>
          <w:szCs w:val="24"/>
        </w:rPr>
        <w:t xml:space="preserve">JPAC </w:t>
      </w:r>
      <w:r w:rsidR="00D818EC">
        <w:rPr>
          <w:rFonts w:cstheme="minorHAnsi"/>
          <w:sz w:val="24"/>
          <w:szCs w:val="24"/>
        </w:rPr>
        <w:t xml:space="preserve">General guidelines for tissue processing </w:t>
      </w:r>
      <w:r w:rsidR="00D818EC" w:rsidRPr="00D818EC">
        <w:rPr>
          <w:rFonts w:cstheme="minorHAnsi"/>
          <w:sz w:val="24"/>
          <w:szCs w:val="24"/>
        </w:rPr>
        <w:t>21.5.3.2</w:t>
      </w:r>
      <w:r w:rsidR="00D818EC">
        <w:rPr>
          <w:rFonts w:cstheme="minorHAnsi"/>
          <w:sz w:val="24"/>
          <w:szCs w:val="24"/>
        </w:rPr>
        <w:t>)</w:t>
      </w:r>
    </w:p>
    <w:p w14:paraId="3AD4A963" w14:textId="3A491246" w:rsidR="00801A14" w:rsidRDefault="00801A14" w:rsidP="00801A14">
      <w:pPr>
        <w:jc w:val="both"/>
        <w:rPr>
          <w:rFonts w:cstheme="minorHAnsi"/>
          <w:b/>
          <w:sz w:val="24"/>
          <w:szCs w:val="24"/>
        </w:rPr>
      </w:pPr>
    </w:p>
    <w:p w14:paraId="0E9DC1BF" w14:textId="1E016CD1" w:rsidR="00801A14" w:rsidRDefault="00801A14" w:rsidP="00801A14">
      <w:pPr>
        <w:jc w:val="both"/>
        <w:rPr>
          <w:rFonts w:cstheme="minorHAnsi"/>
          <w:b/>
          <w:sz w:val="24"/>
          <w:szCs w:val="24"/>
        </w:rPr>
      </w:pPr>
    </w:p>
    <w:p w14:paraId="37B83FAE" w14:textId="5FBC3C02" w:rsidR="00801A14" w:rsidRDefault="00801A14" w:rsidP="00801A14">
      <w:pPr>
        <w:jc w:val="both"/>
        <w:rPr>
          <w:rFonts w:cstheme="minorHAnsi"/>
          <w:b/>
          <w:sz w:val="24"/>
          <w:szCs w:val="24"/>
        </w:rPr>
      </w:pPr>
    </w:p>
    <w:p w14:paraId="5356EFDE" w14:textId="7B5BFB36" w:rsidR="00801A14" w:rsidRDefault="00801A14" w:rsidP="00801A14">
      <w:pPr>
        <w:jc w:val="both"/>
        <w:rPr>
          <w:rFonts w:cstheme="minorHAnsi"/>
          <w:b/>
          <w:sz w:val="24"/>
          <w:szCs w:val="24"/>
        </w:rPr>
      </w:pPr>
    </w:p>
    <w:p w14:paraId="12C14EEA" w14:textId="395A5E5A" w:rsidR="00801A14" w:rsidRDefault="00801A14" w:rsidP="00801A14">
      <w:pPr>
        <w:jc w:val="both"/>
        <w:rPr>
          <w:rFonts w:cstheme="minorHAnsi"/>
          <w:b/>
          <w:sz w:val="24"/>
          <w:szCs w:val="24"/>
        </w:rPr>
      </w:pPr>
    </w:p>
    <w:p w14:paraId="438DEAA8" w14:textId="6A3A2B9F" w:rsidR="00657814" w:rsidRPr="00620A9D" w:rsidRDefault="00657814" w:rsidP="009A297D">
      <w:pPr>
        <w:pStyle w:val="Heading1"/>
        <w:numPr>
          <w:ilvl w:val="0"/>
          <w:numId w:val="13"/>
        </w:numPr>
        <w:jc w:val="both"/>
      </w:pPr>
      <w:bookmarkStart w:id="43" w:name="_Toc41427178"/>
      <w:bookmarkEnd w:id="2"/>
      <w:r w:rsidRPr="00620A9D">
        <w:t xml:space="preserve">Requirements and criteria for microbiological quality of the final </w:t>
      </w:r>
      <w:r w:rsidR="007C38A3" w:rsidRPr="00620A9D">
        <w:t xml:space="preserve">BTC </w:t>
      </w:r>
      <w:r w:rsidRPr="00620A9D">
        <w:t>product</w:t>
      </w:r>
      <w:bookmarkEnd w:id="43"/>
    </w:p>
    <w:p w14:paraId="63392D74" w14:textId="77777777" w:rsidR="00397002" w:rsidRDefault="00397002" w:rsidP="00B22761">
      <w:pPr>
        <w:jc w:val="both"/>
        <w:rPr>
          <w:rFonts w:cstheme="minorHAnsi"/>
          <w:sz w:val="24"/>
          <w:szCs w:val="24"/>
          <w:lang w:val="en-GB"/>
        </w:rPr>
      </w:pPr>
    </w:p>
    <w:p w14:paraId="4493507E" w14:textId="68E5C4E3" w:rsidR="00D20418" w:rsidRDefault="00B22761" w:rsidP="00B22761">
      <w:pPr>
        <w:jc w:val="both"/>
        <w:rPr>
          <w:rFonts w:cstheme="minorHAnsi"/>
          <w:sz w:val="24"/>
          <w:szCs w:val="24"/>
          <w:lang w:val="en-GB"/>
        </w:rPr>
      </w:pPr>
      <w:r>
        <w:rPr>
          <w:rFonts w:cstheme="minorHAnsi"/>
          <w:sz w:val="24"/>
          <w:szCs w:val="24"/>
          <w:lang w:val="en-GB"/>
        </w:rPr>
        <w:t>BTC</w:t>
      </w:r>
      <w:r w:rsidRPr="00B22761">
        <w:rPr>
          <w:rFonts w:cstheme="minorHAnsi"/>
          <w:sz w:val="24"/>
          <w:szCs w:val="24"/>
          <w:lang w:val="en-GB"/>
        </w:rPr>
        <w:t xml:space="preserve"> collection and processing procedures are intended to</w:t>
      </w:r>
      <w:r>
        <w:rPr>
          <w:rFonts w:cstheme="minorHAnsi"/>
          <w:sz w:val="24"/>
          <w:szCs w:val="24"/>
          <w:lang w:val="en-GB"/>
        </w:rPr>
        <w:t xml:space="preserve"> </w:t>
      </w:r>
      <w:r w:rsidRPr="00B22761">
        <w:rPr>
          <w:rFonts w:cstheme="minorHAnsi"/>
          <w:sz w:val="24"/>
          <w:szCs w:val="24"/>
          <w:lang w:val="en-GB"/>
        </w:rPr>
        <w:t xml:space="preserve">produce non-infectious </w:t>
      </w:r>
      <w:r>
        <w:rPr>
          <w:rFonts w:cstheme="minorHAnsi"/>
          <w:sz w:val="24"/>
          <w:szCs w:val="24"/>
          <w:lang w:val="en-GB"/>
        </w:rPr>
        <w:t>final BTC</w:t>
      </w:r>
      <w:r w:rsidRPr="00B22761">
        <w:rPr>
          <w:rFonts w:cstheme="minorHAnsi"/>
          <w:sz w:val="24"/>
          <w:szCs w:val="24"/>
          <w:lang w:val="en-GB"/>
        </w:rPr>
        <w:t xml:space="preserve"> </w:t>
      </w:r>
      <w:r>
        <w:rPr>
          <w:rFonts w:cstheme="minorHAnsi"/>
          <w:sz w:val="24"/>
          <w:szCs w:val="24"/>
          <w:lang w:val="en-GB"/>
        </w:rPr>
        <w:t>products for the recipients but in some cases</w:t>
      </w:r>
      <w:r w:rsidRPr="00B22761">
        <w:rPr>
          <w:rFonts w:cstheme="minorHAnsi"/>
          <w:sz w:val="24"/>
          <w:szCs w:val="24"/>
          <w:lang w:val="en-GB"/>
        </w:rPr>
        <w:t xml:space="preserve"> </w:t>
      </w:r>
      <w:r>
        <w:rPr>
          <w:rFonts w:cstheme="minorHAnsi"/>
          <w:sz w:val="24"/>
          <w:szCs w:val="24"/>
          <w:lang w:val="en-GB"/>
        </w:rPr>
        <w:t>microbiological</w:t>
      </w:r>
      <w:r w:rsidRPr="00B22761">
        <w:rPr>
          <w:rFonts w:cstheme="minorHAnsi"/>
          <w:sz w:val="24"/>
          <w:szCs w:val="24"/>
          <w:lang w:val="en-GB"/>
        </w:rPr>
        <w:t xml:space="preserve"> contamination</w:t>
      </w:r>
      <w:r>
        <w:rPr>
          <w:rFonts w:cstheme="minorHAnsi"/>
          <w:sz w:val="24"/>
          <w:szCs w:val="24"/>
          <w:lang w:val="en-GB"/>
        </w:rPr>
        <w:t xml:space="preserve"> </w:t>
      </w:r>
      <w:r w:rsidRPr="00B22761">
        <w:rPr>
          <w:rFonts w:cstheme="minorHAnsi"/>
          <w:sz w:val="24"/>
          <w:szCs w:val="24"/>
          <w:lang w:val="en-GB"/>
        </w:rPr>
        <w:t>still occur</w:t>
      </w:r>
      <w:r>
        <w:rPr>
          <w:rFonts w:cstheme="minorHAnsi"/>
          <w:sz w:val="24"/>
          <w:szCs w:val="24"/>
          <w:lang w:val="en-GB"/>
        </w:rPr>
        <w:t>s</w:t>
      </w:r>
      <w:r w:rsidRPr="00B22761">
        <w:rPr>
          <w:rFonts w:cstheme="minorHAnsi"/>
          <w:sz w:val="24"/>
          <w:szCs w:val="24"/>
          <w:lang w:val="en-GB"/>
        </w:rPr>
        <w:t xml:space="preserve">. </w:t>
      </w:r>
      <w:r w:rsidR="00D20418">
        <w:rPr>
          <w:rFonts w:cstheme="minorHAnsi"/>
          <w:sz w:val="24"/>
          <w:szCs w:val="24"/>
          <w:lang w:val="en-GB"/>
        </w:rPr>
        <w:t>M</w:t>
      </w:r>
      <w:r w:rsidR="00D20418" w:rsidRPr="00D20418">
        <w:rPr>
          <w:rFonts w:cstheme="minorHAnsi"/>
          <w:sz w:val="24"/>
          <w:szCs w:val="24"/>
          <w:lang w:val="en-GB"/>
        </w:rPr>
        <w:t xml:space="preserve">icrobiological contaminations of </w:t>
      </w:r>
      <w:r w:rsidR="00D20418">
        <w:rPr>
          <w:rFonts w:cstheme="minorHAnsi"/>
          <w:sz w:val="24"/>
          <w:szCs w:val="24"/>
          <w:lang w:val="en-GB"/>
        </w:rPr>
        <w:t>BTC</w:t>
      </w:r>
      <w:r w:rsidR="00D20418" w:rsidRPr="00D20418">
        <w:rPr>
          <w:rFonts w:cstheme="minorHAnsi"/>
          <w:sz w:val="24"/>
          <w:szCs w:val="24"/>
          <w:lang w:val="en-GB"/>
        </w:rPr>
        <w:t xml:space="preserve"> depend on </w:t>
      </w:r>
      <w:r w:rsidR="00D20418">
        <w:rPr>
          <w:rFonts w:cstheme="minorHAnsi"/>
          <w:sz w:val="24"/>
          <w:szCs w:val="24"/>
          <w:lang w:val="en-GB"/>
        </w:rPr>
        <w:t xml:space="preserve">for example </w:t>
      </w:r>
      <w:r w:rsidR="00D20418" w:rsidRPr="00D20418">
        <w:rPr>
          <w:rFonts w:cstheme="minorHAnsi"/>
          <w:sz w:val="24"/>
          <w:szCs w:val="24"/>
          <w:lang w:val="en-GB"/>
        </w:rPr>
        <w:t xml:space="preserve">the origin, procurement </w:t>
      </w:r>
      <w:r w:rsidR="00C91DCD">
        <w:rPr>
          <w:rFonts w:cstheme="minorHAnsi"/>
          <w:sz w:val="24"/>
          <w:szCs w:val="24"/>
          <w:lang w:val="en-GB"/>
        </w:rPr>
        <w:t xml:space="preserve">method </w:t>
      </w:r>
      <w:r w:rsidR="00D20418" w:rsidRPr="00D20418">
        <w:rPr>
          <w:rFonts w:cstheme="minorHAnsi"/>
          <w:sz w:val="24"/>
          <w:szCs w:val="24"/>
          <w:lang w:val="en-GB"/>
        </w:rPr>
        <w:t>and processing steps</w:t>
      </w:r>
      <w:r w:rsidR="00DE39D5">
        <w:rPr>
          <w:rFonts w:cstheme="minorHAnsi"/>
          <w:sz w:val="24"/>
          <w:szCs w:val="24"/>
          <w:lang w:val="en-GB"/>
        </w:rPr>
        <w:t xml:space="preserve"> of the BTC</w:t>
      </w:r>
      <w:r w:rsidR="00BB3EF0">
        <w:rPr>
          <w:rFonts w:cstheme="minorHAnsi"/>
          <w:sz w:val="24"/>
          <w:szCs w:val="24"/>
          <w:lang w:val="en-GB"/>
        </w:rPr>
        <w:t xml:space="preserve"> (</w:t>
      </w:r>
      <w:r w:rsidR="00F3538A">
        <w:rPr>
          <w:rFonts w:cstheme="minorHAnsi"/>
          <w:sz w:val="24"/>
          <w:szCs w:val="24"/>
          <w:lang w:val="en-GB"/>
        </w:rPr>
        <w:t xml:space="preserve">ref.: </w:t>
      </w:r>
      <w:r w:rsidR="00BB3EF0">
        <w:rPr>
          <w:rFonts w:cstheme="minorHAnsi"/>
          <w:sz w:val="24"/>
          <w:szCs w:val="24"/>
          <w:lang w:val="en-GB"/>
        </w:rPr>
        <w:t>EDQM Guides?)</w:t>
      </w:r>
      <w:r w:rsidR="00D20418">
        <w:rPr>
          <w:rFonts w:cstheme="minorHAnsi"/>
          <w:sz w:val="24"/>
          <w:szCs w:val="24"/>
          <w:lang w:val="en-GB"/>
        </w:rPr>
        <w:t>.</w:t>
      </w:r>
      <w:r w:rsidR="00CD043C">
        <w:rPr>
          <w:rFonts w:cstheme="minorHAnsi"/>
          <w:sz w:val="24"/>
          <w:szCs w:val="24"/>
          <w:lang w:val="en-GB"/>
        </w:rPr>
        <w:t xml:space="preserve"> </w:t>
      </w:r>
      <w:r w:rsidR="00B62873">
        <w:rPr>
          <w:rFonts w:cstheme="minorHAnsi"/>
          <w:sz w:val="24"/>
          <w:szCs w:val="24"/>
        </w:rPr>
        <w:t xml:space="preserve">As an example, </w:t>
      </w:r>
      <w:r w:rsidR="00B62873">
        <w:rPr>
          <w:rFonts w:cstheme="minorHAnsi"/>
          <w:sz w:val="24"/>
          <w:szCs w:val="24"/>
          <w:lang w:val="en-GB"/>
        </w:rPr>
        <w:t>c</w:t>
      </w:r>
      <w:r w:rsidR="00CD043C" w:rsidRPr="00CD043C">
        <w:rPr>
          <w:rFonts w:cstheme="minorHAnsi"/>
          <w:sz w:val="24"/>
          <w:szCs w:val="24"/>
        </w:rPr>
        <w:t xml:space="preserve">auses of bacterial </w:t>
      </w:r>
      <w:r w:rsidR="00CD043C" w:rsidRPr="00CD043C">
        <w:rPr>
          <w:rFonts w:cstheme="minorHAnsi"/>
          <w:sz w:val="24"/>
          <w:szCs w:val="24"/>
        </w:rPr>
        <w:lastRenderedPageBreak/>
        <w:t xml:space="preserve">contamination </w:t>
      </w:r>
      <w:r w:rsidR="00CD043C">
        <w:rPr>
          <w:rFonts w:cstheme="minorHAnsi"/>
          <w:sz w:val="24"/>
          <w:szCs w:val="24"/>
        </w:rPr>
        <w:t xml:space="preserve">in blood products </w:t>
      </w:r>
      <w:r w:rsidR="00CD043C" w:rsidRPr="00CD043C">
        <w:rPr>
          <w:rFonts w:cstheme="minorHAnsi"/>
          <w:sz w:val="24"/>
          <w:szCs w:val="24"/>
        </w:rPr>
        <w:t>include occult bacteraemia in the</w:t>
      </w:r>
      <w:r w:rsidR="00CD043C">
        <w:rPr>
          <w:rFonts w:cstheme="minorHAnsi"/>
          <w:sz w:val="24"/>
          <w:szCs w:val="24"/>
        </w:rPr>
        <w:t xml:space="preserve"> </w:t>
      </w:r>
      <w:r w:rsidR="00CD043C" w:rsidRPr="00CD043C">
        <w:rPr>
          <w:rFonts w:cstheme="minorHAnsi"/>
          <w:sz w:val="24"/>
          <w:szCs w:val="24"/>
        </w:rPr>
        <w:t>donor, inadequate or contaminated skin preparation at the phlebotomy</w:t>
      </w:r>
      <w:r w:rsidR="00CD043C">
        <w:rPr>
          <w:rFonts w:cstheme="minorHAnsi"/>
          <w:sz w:val="24"/>
          <w:szCs w:val="24"/>
        </w:rPr>
        <w:t xml:space="preserve"> </w:t>
      </w:r>
      <w:r w:rsidR="00CD043C" w:rsidRPr="00CD043C">
        <w:rPr>
          <w:rFonts w:cstheme="minorHAnsi"/>
          <w:sz w:val="24"/>
          <w:szCs w:val="24"/>
        </w:rPr>
        <w:t>site, coring of a skin plug by the phlebotomy needle and breaches</w:t>
      </w:r>
      <w:r w:rsidR="00CD043C">
        <w:rPr>
          <w:rFonts w:cstheme="minorHAnsi"/>
          <w:sz w:val="24"/>
          <w:szCs w:val="24"/>
        </w:rPr>
        <w:t xml:space="preserve"> </w:t>
      </w:r>
      <w:r w:rsidR="00CD043C" w:rsidRPr="00CD043C">
        <w:rPr>
          <w:rFonts w:cstheme="minorHAnsi"/>
          <w:sz w:val="24"/>
          <w:szCs w:val="24"/>
        </w:rPr>
        <w:t>of the closed system from equipment defects or mishandling</w:t>
      </w:r>
      <w:r w:rsidR="00CD043C">
        <w:rPr>
          <w:rFonts w:cstheme="minorHAnsi"/>
          <w:sz w:val="24"/>
          <w:szCs w:val="24"/>
        </w:rPr>
        <w:t xml:space="preserve"> (EDQM Blood Guide)</w:t>
      </w:r>
      <w:r w:rsidR="00CD043C" w:rsidRPr="00CD043C">
        <w:rPr>
          <w:rFonts w:cstheme="minorHAnsi"/>
          <w:sz w:val="24"/>
          <w:szCs w:val="24"/>
        </w:rPr>
        <w:t>.</w:t>
      </w:r>
    </w:p>
    <w:p w14:paraId="3B8E94BC" w14:textId="66703AE3" w:rsidR="001440A9" w:rsidRDefault="00C93F10" w:rsidP="00122CC1">
      <w:pPr>
        <w:jc w:val="both"/>
        <w:rPr>
          <w:rFonts w:cstheme="minorHAnsi"/>
          <w:sz w:val="24"/>
          <w:szCs w:val="24"/>
          <w:lang w:val="en-GB"/>
        </w:rPr>
      </w:pPr>
      <w:r>
        <w:rPr>
          <w:rFonts w:cstheme="minorHAnsi"/>
          <w:sz w:val="24"/>
          <w:szCs w:val="24"/>
          <w:lang w:val="en-GB"/>
        </w:rPr>
        <w:t>Microbiological quality criteria</w:t>
      </w:r>
      <w:r w:rsidR="001440A9">
        <w:rPr>
          <w:rFonts w:cstheme="minorHAnsi"/>
          <w:sz w:val="24"/>
          <w:szCs w:val="24"/>
          <w:lang w:val="en-GB"/>
        </w:rPr>
        <w:t xml:space="preserve"> form </w:t>
      </w:r>
      <w:r w:rsidR="007624F6">
        <w:rPr>
          <w:rFonts w:cstheme="minorHAnsi"/>
          <w:sz w:val="24"/>
          <w:szCs w:val="24"/>
          <w:lang w:val="en-GB"/>
        </w:rPr>
        <w:t>part of</w:t>
      </w:r>
      <w:r w:rsidR="001440A9">
        <w:rPr>
          <w:rFonts w:cstheme="minorHAnsi"/>
          <w:sz w:val="24"/>
          <w:szCs w:val="24"/>
          <w:lang w:val="en-GB"/>
        </w:rPr>
        <w:t xml:space="preserve"> </w:t>
      </w:r>
      <w:r w:rsidR="007624F6">
        <w:rPr>
          <w:rFonts w:cstheme="minorHAnsi"/>
          <w:sz w:val="24"/>
          <w:szCs w:val="24"/>
          <w:lang w:val="en-GB"/>
        </w:rPr>
        <w:t xml:space="preserve">final </w:t>
      </w:r>
      <w:r w:rsidR="001440A9">
        <w:rPr>
          <w:rFonts w:cstheme="minorHAnsi"/>
          <w:sz w:val="24"/>
          <w:szCs w:val="24"/>
          <w:lang w:val="en-GB"/>
        </w:rPr>
        <w:t>re</w:t>
      </w:r>
      <w:r>
        <w:rPr>
          <w:rFonts w:cstheme="minorHAnsi"/>
          <w:sz w:val="24"/>
          <w:szCs w:val="24"/>
          <w:lang w:val="en-GB"/>
        </w:rPr>
        <w:t>lease criteria</w:t>
      </w:r>
      <w:r w:rsidR="001440A9">
        <w:rPr>
          <w:rFonts w:cstheme="minorHAnsi"/>
          <w:sz w:val="24"/>
          <w:szCs w:val="24"/>
          <w:lang w:val="en-GB"/>
        </w:rPr>
        <w:t xml:space="preserve"> for the BTC</w:t>
      </w:r>
      <w:r>
        <w:rPr>
          <w:rFonts w:cstheme="minorHAnsi"/>
          <w:sz w:val="24"/>
          <w:szCs w:val="24"/>
          <w:lang w:val="en-GB"/>
        </w:rPr>
        <w:t xml:space="preserve">. </w:t>
      </w:r>
      <w:r w:rsidR="001440A9" w:rsidRPr="00122CC1">
        <w:rPr>
          <w:rFonts w:cstheme="minorHAnsi"/>
          <w:sz w:val="24"/>
          <w:szCs w:val="24"/>
          <w:lang w:val="en-GB"/>
        </w:rPr>
        <w:t>Release is the act of certifying compliance of</w:t>
      </w:r>
      <w:r w:rsidR="001440A9">
        <w:rPr>
          <w:rFonts w:cstheme="minorHAnsi"/>
          <w:sz w:val="24"/>
          <w:szCs w:val="24"/>
          <w:lang w:val="en-GB"/>
        </w:rPr>
        <w:t xml:space="preserve"> </w:t>
      </w:r>
      <w:r w:rsidR="001440A9" w:rsidRPr="00122CC1">
        <w:rPr>
          <w:rFonts w:cstheme="minorHAnsi"/>
          <w:sz w:val="24"/>
          <w:szCs w:val="24"/>
          <w:lang w:val="en-GB"/>
        </w:rPr>
        <w:t xml:space="preserve">specific </w:t>
      </w:r>
      <w:r w:rsidR="001440A9">
        <w:rPr>
          <w:rFonts w:cstheme="minorHAnsi"/>
          <w:sz w:val="24"/>
          <w:szCs w:val="24"/>
          <w:lang w:val="en-GB"/>
        </w:rPr>
        <w:t>BTC</w:t>
      </w:r>
      <w:r w:rsidR="001440A9" w:rsidRPr="00122CC1">
        <w:rPr>
          <w:rFonts w:cstheme="minorHAnsi"/>
          <w:sz w:val="24"/>
          <w:szCs w:val="24"/>
          <w:lang w:val="en-GB"/>
        </w:rPr>
        <w:t xml:space="preserve"> or batch of </w:t>
      </w:r>
      <w:r w:rsidR="001440A9">
        <w:rPr>
          <w:rFonts w:cstheme="minorHAnsi"/>
          <w:sz w:val="24"/>
          <w:szCs w:val="24"/>
          <w:lang w:val="en-GB"/>
        </w:rPr>
        <w:t xml:space="preserve">BTC </w:t>
      </w:r>
      <w:r w:rsidR="001440A9" w:rsidRPr="00122CC1">
        <w:rPr>
          <w:rFonts w:cstheme="minorHAnsi"/>
          <w:sz w:val="24"/>
          <w:szCs w:val="24"/>
          <w:lang w:val="en-GB"/>
        </w:rPr>
        <w:t>with the requirements and specifications. Before any</w:t>
      </w:r>
      <w:r w:rsidR="001440A9">
        <w:rPr>
          <w:rFonts w:cstheme="minorHAnsi"/>
          <w:sz w:val="24"/>
          <w:szCs w:val="24"/>
          <w:lang w:val="en-GB"/>
        </w:rPr>
        <w:t xml:space="preserve"> BTC </w:t>
      </w:r>
      <w:r w:rsidR="001440A9" w:rsidRPr="00122CC1">
        <w:rPr>
          <w:rFonts w:cstheme="minorHAnsi"/>
          <w:sz w:val="24"/>
          <w:szCs w:val="24"/>
          <w:lang w:val="en-GB"/>
        </w:rPr>
        <w:t>are released</w:t>
      </w:r>
      <w:r w:rsidR="00DE39D5">
        <w:rPr>
          <w:rFonts w:cstheme="minorHAnsi"/>
          <w:sz w:val="24"/>
          <w:szCs w:val="24"/>
          <w:lang w:val="en-GB"/>
        </w:rPr>
        <w:t xml:space="preserve"> for clinical use</w:t>
      </w:r>
      <w:r w:rsidR="001440A9" w:rsidRPr="00122CC1">
        <w:rPr>
          <w:rFonts w:cstheme="minorHAnsi"/>
          <w:sz w:val="24"/>
          <w:szCs w:val="24"/>
          <w:lang w:val="en-GB"/>
        </w:rPr>
        <w:t>, all relevant records</w:t>
      </w:r>
      <w:r w:rsidR="001440A9">
        <w:rPr>
          <w:rFonts w:cstheme="minorHAnsi"/>
          <w:sz w:val="24"/>
          <w:szCs w:val="24"/>
          <w:lang w:val="en-GB"/>
        </w:rPr>
        <w:t xml:space="preserve"> </w:t>
      </w:r>
      <w:r w:rsidR="001440A9" w:rsidRPr="00122CC1">
        <w:rPr>
          <w:rFonts w:cstheme="minorHAnsi"/>
          <w:sz w:val="24"/>
          <w:szCs w:val="24"/>
          <w:lang w:val="en-GB"/>
        </w:rPr>
        <w:t>(including donor records, processing and storage</w:t>
      </w:r>
      <w:r w:rsidR="001440A9">
        <w:rPr>
          <w:rFonts w:cstheme="minorHAnsi"/>
          <w:sz w:val="24"/>
          <w:szCs w:val="24"/>
          <w:lang w:val="en-GB"/>
        </w:rPr>
        <w:t xml:space="preserve"> </w:t>
      </w:r>
      <w:r w:rsidR="001440A9" w:rsidRPr="00122CC1">
        <w:rPr>
          <w:rFonts w:cstheme="minorHAnsi"/>
          <w:sz w:val="24"/>
          <w:szCs w:val="24"/>
          <w:lang w:val="en-GB"/>
        </w:rPr>
        <w:t>records, and post-processing quality-control test</w:t>
      </w:r>
      <w:r w:rsidR="001440A9">
        <w:rPr>
          <w:rFonts w:cstheme="minorHAnsi"/>
          <w:sz w:val="24"/>
          <w:szCs w:val="24"/>
          <w:lang w:val="en-GB"/>
        </w:rPr>
        <w:t xml:space="preserve"> </w:t>
      </w:r>
      <w:r w:rsidR="001440A9" w:rsidRPr="00122CC1">
        <w:rPr>
          <w:rFonts w:cstheme="minorHAnsi"/>
          <w:sz w:val="24"/>
          <w:szCs w:val="24"/>
          <w:lang w:val="en-GB"/>
        </w:rPr>
        <w:t xml:space="preserve">results) </w:t>
      </w:r>
      <w:r w:rsidR="001440A9">
        <w:rPr>
          <w:rFonts w:cstheme="minorHAnsi"/>
          <w:sz w:val="24"/>
          <w:szCs w:val="24"/>
          <w:lang w:val="en-GB"/>
        </w:rPr>
        <w:t>m</w:t>
      </w:r>
      <w:r w:rsidR="001440A9" w:rsidRPr="00122CC1">
        <w:rPr>
          <w:rFonts w:cstheme="minorHAnsi"/>
          <w:sz w:val="24"/>
          <w:szCs w:val="24"/>
          <w:lang w:val="en-GB"/>
        </w:rPr>
        <w:t>ust have been reviewed, approved and documented</w:t>
      </w:r>
      <w:r w:rsidR="001440A9">
        <w:rPr>
          <w:rFonts w:cstheme="minorHAnsi"/>
          <w:sz w:val="24"/>
          <w:szCs w:val="24"/>
          <w:lang w:val="en-GB"/>
        </w:rPr>
        <w:t xml:space="preserve"> </w:t>
      </w:r>
      <w:r w:rsidR="001440A9" w:rsidRPr="00122CC1">
        <w:rPr>
          <w:rFonts w:cstheme="minorHAnsi"/>
          <w:sz w:val="24"/>
          <w:szCs w:val="24"/>
          <w:lang w:val="en-GB"/>
        </w:rPr>
        <w:t>as acceptable by an authorised and trained</w:t>
      </w:r>
      <w:r w:rsidR="001440A9">
        <w:rPr>
          <w:rFonts w:cstheme="minorHAnsi"/>
          <w:sz w:val="24"/>
          <w:szCs w:val="24"/>
          <w:lang w:val="en-GB"/>
        </w:rPr>
        <w:t xml:space="preserve"> </w:t>
      </w:r>
      <w:r w:rsidR="001440A9" w:rsidRPr="00122CC1">
        <w:rPr>
          <w:rFonts w:cstheme="minorHAnsi"/>
          <w:sz w:val="24"/>
          <w:szCs w:val="24"/>
          <w:lang w:val="en-GB"/>
        </w:rPr>
        <w:t xml:space="preserve">person according to the relevant </w:t>
      </w:r>
      <w:r w:rsidR="001440A9">
        <w:rPr>
          <w:rFonts w:cstheme="minorHAnsi"/>
          <w:sz w:val="24"/>
          <w:szCs w:val="24"/>
          <w:lang w:val="en-GB"/>
        </w:rPr>
        <w:t>standard operating procedure (SOP)</w:t>
      </w:r>
      <w:r w:rsidR="001440A9" w:rsidRPr="00122CC1">
        <w:rPr>
          <w:rFonts w:cstheme="minorHAnsi"/>
          <w:sz w:val="24"/>
          <w:szCs w:val="24"/>
          <w:lang w:val="en-GB"/>
        </w:rPr>
        <w:t xml:space="preserve"> and national</w:t>
      </w:r>
      <w:r w:rsidR="001440A9">
        <w:rPr>
          <w:rFonts w:cstheme="minorHAnsi"/>
          <w:sz w:val="24"/>
          <w:szCs w:val="24"/>
          <w:lang w:val="en-GB"/>
        </w:rPr>
        <w:t xml:space="preserve"> </w:t>
      </w:r>
      <w:r w:rsidR="001440A9" w:rsidRPr="00122CC1">
        <w:rPr>
          <w:rFonts w:cstheme="minorHAnsi"/>
          <w:sz w:val="24"/>
          <w:szCs w:val="24"/>
          <w:lang w:val="en-GB"/>
        </w:rPr>
        <w:t>regulations.</w:t>
      </w:r>
    </w:p>
    <w:p w14:paraId="1DF2623B" w14:textId="16D28D69" w:rsidR="002630EA" w:rsidRDefault="002630EA" w:rsidP="00122CC1">
      <w:pPr>
        <w:jc w:val="both"/>
        <w:rPr>
          <w:rFonts w:cstheme="minorHAnsi"/>
          <w:sz w:val="24"/>
          <w:szCs w:val="24"/>
          <w:lang w:val="en-GB"/>
        </w:rPr>
      </w:pPr>
      <w:r>
        <w:rPr>
          <w:rFonts w:cstheme="minorHAnsi"/>
          <w:sz w:val="24"/>
          <w:szCs w:val="24"/>
          <w:lang w:val="en-GB"/>
        </w:rPr>
        <w:t xml:space="preserve">Requirements and criteria for microbiological quality of the final BTC product </w:t>
      </w:r>
      <w:r w:rsidR="00DE39D5">
        <w:rPr>
          <w:rFonts w:cstheme="minorHAnsi"/>
          <w:sz w:val="24"/>
          <w:szCs w:val="24"/>
          <w:lang w:val="en-GB"/>
        </w:rPr>
        <w:t>differ from each other</w:t>
      </w:r>
      <w:r>
        <w:rPr>
          <w:rFonts w:cstheme="minorHAnsi"/>
          <w:sz w:val="24"/>
          <w:szCs w:val="24"/>
          <w:lang w:val="en-GB"/>
        </w:rPr>
        <w:t xml:space="preserve"> based on the level of </w:t>
      </w:r>
      <w:r w:rsidR="0026531D">
        <w:rPr>
          <w:rFonts w:cstheme="minorHAnsi"/>
          <w:sz w:val="24"/>
          <w:szCs w:val="24"/>
          <w:lang w:val="en-GB"/>
        </w:rPr>
        <w:t xml:space="preserve">microbiological </w:t>
      </w:r>
      <w:r w:rsidRPr="00DE39D5">
        <w:rPr>
          <w:rFonts w:cstheme="minorHAnsi"/>
          <w:sz w:val="24"/>
          <w:szCs w:val="24"/>
          <w:lang w:val="en-GB"/>
        </w:rPr>
        <w:t>purity</w:t>
      </w:r>
      <w:r w:rsidR="001440A9">
        <w:rPr>
          <w:rFonts w:cstheme="minorHAnsi"/>
          <w:sz w:val="24"/>
          <w:szCs w:val="24"/>
          <w:lang w:val="en-GB"/>
        </w:rPr>
        <w:t xml:space="preserve"> needed:</w:t>
      </w:r>
      <w:r w:rsidR="00CA7B48">
        <w:rPr>
          <w:rFonts w:cstheme="minorHAnsi"/>
          <w:sz w:val="24"/>
          <w:szCs w:val="24"/>
          <w:lang w:val="en-GB"/>
        </w:rPr>
        <w:t xml:space="preserve"> </w:t>
      </w:r>
    </w:p>
    <w:p w14:paraId="4CE5F6DA" w14:textId="1A6C7BE2" w:rsidR="002630EA" w:rsidRPr="000426D2" w:rsidRDefault="002630EA" w:rsidP="00C3460C">
      <w:pPr>
        <w:pStyle w:val="ListParagraph"/>
        <w:numPr>
          <w:ilvl w:val="0"/>
          <w:numId w:val="19"/>
        </w:numPr>
        <w:jc w:val="both"/>
        <w:rPr>
          <w:rFonts w:cstheme="minorHAnsi"/>
          <w:sz w:val="24"/>
          <w:szCs w:val="24"/>
          <w:lang w:val="en-GB"/>
        </w:rPr>
      </w:pPr>
      <w:r w:rsidRPr="000426D2">
        <w:rPr>
          <w:rFonts w:cstheme="minorHAnsi"/>
          <w:sz w:val="24"/>
          <w:szCs w:val="24"/>
          <w:lang w:val="en-GB"/>
        </w:rPr>
        <w:t>For some tissues (</w:t>
      </w:r>
      <w:r w:rsidRPr="000426D2">
        <w:rPr>
          <w:rFonts w:cstheme="minorHAnsi"/>
          <w:sz w:val="24"/>
          <w:szCs w:val="24"/>
        </w:rPr>
        <w:t xml:space="preserve">e.g. </w:t>
      </w:r>
      <w:r w:rsidRPr="000426D2">
        <w:rPr>
          <w:rFonts w:cstheme="minorHAnsi"/>
          <w:sz w:val="24"/>
          <w:szCs w:val="24"/>
          <w:lang w:val="en-GB"/>
        </w:rPr>
        <w:t xml:space="preserve">bone and amniotic membrane), terminal sterilisation can be applied and </w:t>
      </w:r>
      <w:r w:rsidR="00645A1C" w:rsidRPr="000426D2">
        <w:rPr>
          <w:rFonts w:cstheme="minorHAnsi"/>
          <w:sz w:val="24"/>
          <w:szCs w:val="24"/>
          <w:lang w:val="en-GB"/>
        </w:rPr>
        <w:t xml:space="preserve">the aim is to reach </w:t>
      </w:r>
      <w:r w:rsidRPr="000426D2">
        <w:rPr>
          <w:rFonts w:cstheme="minorHAnsi"/>
          <w:sz w:val="24"/>
          <w:szCs w:val="24"/>
          <w:lang w:val="en-GB"/>
        </w:rPr>
        <w:t>sterile tissue products</w:t>
      </w:r>
      <w:r w:rsidR="008D71F7" w:rsidRPr="000426D2">
        <w:rPr>
          <w:rFonts w:cstheme="minorHAnsi"/>
          <w:sz w:val="24"/>
          <w:szCs w:val="24"/>
          <w:lang w:val="en-GB"/>
        </w:rPr>
        <w:t>.</w:t>
      </w:r>
      <w:r w:rsidRPr="000426D2">
        <w:rPr>
          <w:rFonts w:cstheme="minorHAnsi"/>
          <w:sz w:val="24"/>
          <w:szCs w:val="24"/>
          <w:lang w:val="en-GB"/>
        </w:rPr>
        <w:t xml:space="preserve"> </w:t>
      </w:r>
      <w:r w:rsidR="00F35143" w:rsidRPr="000426D2">
        <w:rPr>
          <w:rFonts w:cstheme="minorHAnsi"/>
          <w:sz w:val="24"/>
          <w:szCs w:val="24"/>
          <w:lang w:val="en-GB"/>
        </w:rPr>
        <w:t>Parametric release</w:t>
      </w:r>
      <w:r w:rsidR="001149EB" w:rsidRPr="000426D2">
        <w:rPr>
          <w:rFonts w:cstheme="minorHAnsi"/>
          <w:sz w:val="24"/>
          <w:szCs w:val="24"/>
          <w:lang w:val="en-GB"/>
        </w:rPr>
        <w:t xml:space="preserve"> with acceptance criteria for the control of identified process parameters can replace microbiological testing</w:t>
      </w:r>
      <w:r w:rsidR="008D71F7" w:rsidRPr="000426D2">
        <w:rPr>
          <w:rFonts w:cstheme="minorHAnsi"/>
          <w:sz w:val="24"/>
          <w:szCs w:val="24"/>
          <w:lang w:val="en-GB"/>
        </w:rPr>
        <w:t xml:space="preserve"> of the tissue grafts</w:t>
      </w:r>
      <w:r w:rsidR="001149EB" w:rsidRPr="000426D2">
        <w:rPr>
          <w:rFonts w:cstheme="minorHAnsi"/>
          <w:sz w:val="24"/>
          <w:szCs w:val="24"/>
          <w:lang w:val="en-GB"/>
        </w:rPr>
        <w:t>.</w:t>
      </w:r>
      <w:r w:rsidR="008D71F7" w:rsidRPr="000426D2">
        <w:rPr>
          <w:rFonts w:cstheme="minorHAnsi"/>
          <w:sz w:val="24"/>
          <w:szCs w:val="24"/>
          <w:lang w:val="en-GB"/>
        </w:rPr>
        <w:t xml:space="preserve"> Validated procedures for all critical production steps </w:t>
      </w:r>
      <w:r w:rsidR="000426D2" w:rsidRPr="000426D2">
        <w:rPr>
          <w:rFonts w:cstheme="minorHAnsi"/>
          <w:sz w:val="24"/>
          <w:szCs w:val="24"/>
          <w:lang w:val="en-GB"/>
        </w:rPr>
        <w:t xml:space="preserve">(procurement of tissues, transportation, </w:t>
      </w:r>
      <w:r w:rsidR="000426D2">
        <w:rPr>
          <w:rFonts w:cstheme="minorHAnsi"/>
          <w:sz w:val="24"/>
          <w:szCs w:val="24"/>
          <w:lang w:val="en-GB"/>
        </w:rPr>
        <w:t>all</w:t>
      </w:r>
      <w:r w:rsidR="000426D2" w:rsidRPr="000426D2">
        <w:rPr>
          <w:rFonts w:cstheme="minorHAnsi"/>
          <w:sz w:val="24"/>
          <w:szCs w:val="24"/>
          <w:lang w:val="en-GB"/>
        </w:rPr>
        <w:t xml:space="preserve"> processing steps, packaging and storage) </w:t>
      </w:r>
      <w:r w:rsidR="008D71F7" w:rsidRPr="000426D2">
        <w:rPr>
          <w:rFonts w:cstheme="minorHAnsi"/>
          <w:sz w:val="24"/>
          <w:szCs w:val="24"/>
          <w:lang w:val="en-GB"/>
        </w:rPr>
        <w:t>and a fully validated sterilisation method must be applied (see chapter 5) (EDQM T&amp;C Guide, 10.3.5.2).</w:t>
      </w:r>
    </w:p>
    <w:p w14:paraId="13810055" w14:textId="77777777" w:rsidR="00645A1C" w:rsidRPr="00645A1C" w:rsidRDefault="00645A1C" w:rsidP="00645A1C">
      <w:pPr>
        <w:pStyle w:val="ListParagraph"/>
        <w:numPr>
          <w:ilvl w:val="0"/>
          <w:numId w:val="19"/>
        </w:numPr>
        <w:jc w:val="both"/>
        <w:rPr>
          <w:rFonts w:cstheme="minorHAnsi"/>
          <w:sz w:val="24"/>
          <w:szCs w:val="24"/>
        </w:rPr>
      </w:pPr>
      <w:r w:rsidRPr="00645A1C">
        <w:rPr>
          <w:rFonts w:cstheme="minorHAnsi"/>
          <w:sz w:val="24"/>
          <w:szCs w:val="24"/>
        </w:rPr>
        <w:t xml:space="preserve">Some BTC are procured and/or processed aseptically but will not require further disinfection or sterilisation (e.g. sperm, oocytes, embryos). </w:t>
      </w:r>
    </w:p>
    <w:p w14:paraId="7BE60C3C" w14:textId="71B591B1" w:rsidR="00645A1C" w:rsidRPr="002630EA" w:rsidRDefault="00645A1C" w:rsidP="002630EA">
      <w:pPr>
        <w:pStyle w:val="ListParagraph"/>
        <w:numPr>
          <w:ilvl w:val="0"/>
          <w:numId w:val="19"/>
        </w:numPr>
        <w:jc w:val="both"/>
        <w:rPr>
          <w:rFonts w:cstheme="minorHAnsi"/>
          <w:sz w:val="24"/>
          <w:szCs w:val="24"/>
          <w:lang w:val="en-GB"/>
        </w:rPr>
      </w:pPr>
      <w:r>
        <w:rPr>
          <w:rFonts w:cstheme="minorHAnsi"/>
          <w:sz w:val="24"/>
          <w:szCs w:val="24"/>
        </w:rPr>
        <w:t>M</w:t>
      </w:r>
      <w:r>
        <w:rPr>
          <w:rFonts w:cstheme="minorHAnsi"/>
          <w:sz w:val="24"/>
          <w:szCs w:val="24"/>
          <w:lang w:val="en-GB"/>
        </w:rPr>
        <w:t xml:space="preserve">any BTC cannot be sterilised and in those cases, aspects </w:t>
      </w:r>
      <w:r w:rsidR="001149EB">
        <w:rPr>
          <w:rFonts w:cstheme="minorHAnsi"/>
          <w:sz w:val="24"/>
          <w:szCs w:val="24"/>
          <w:lang w:val="en-GB"/>
        </w:rPr>
        <w:t xml:space="preserve">of microbiological testing </w:t>
      </w:r>
      <w:r>
        <w:rPr>
          <w:rFonts w:cstheme="minorHAnsi"/>
          <w:sz w:val="24"/>
          <w:szCs w:val="24"/>
          <w:lang w:val="en-GB"/>
        </w:rPr>
        <w:t xml:space="preserve">need to be considered in order to ensure the microbiological quality of the final BTC product. Those aspects </w:t>
      </w:r>
      <w:r w:rsidR="00EF1172">
        <w:rPr>
          <w:rFonts w:cstheme="minorHAnsi"/>
          <w:sz w:val="24"/>
          <w:szCs w:val="24"/>
          <w:lang w:val="en-GB"/>
        </w:rPr>
        <w:t>are described</w:t>
      </w:r>
      <w:r w:rsidR="00CA7B48">
        <w:rPr>
          <w:rFonts w:cstheme="minorHAnsi"/>
          <w:sz w:val="24"/>
          <w:szCs w:val="24"/>
          <w:lang w:val="en-GB"/>
        </w:rPr>
        <w:t xml:space="preserve"> in chapters below.</w:t>
      </w:r>
    </w:p>
    <w:p w14:paraId="17D24AC8" w14:textId="5CA9FBE3" w:rsidR="00A32A2E" w:rsidRDefault="00A32A2E" w:rsidP="00CD0ABA">
      <w:pPr>
        <w:jc w:val="both"/>
        <w:rPr>
          <w:rFonts w:cstheme="minorHAnsi"/>
          <w:sz w:val="24"/>
          <w:szCs w:val="24"/>
          <w:lang w:val="en-GB"/>
        </w:rPr>
      </w:pPr>
      <w:r>
        <w:rPr>
          <w:rFonts w:cstheme="minorHAnsi"/>
          <w:sz w:val="24"/>
          <w:szCs w:val="24"/>
          <w:lang w:val="en-GB"/>
        </w:rPr>
        <w:t xml:space="preserve">BTC </w:t>
      </w:r>
      <w:r w:rsidR="0026531D">
        <w:rPr>
          <w:rFonts w:cstheme="minorHAnsi"/>
          <w:sz w:val="24"/>
          <w:szCs w:val="24"/>
          <w:lang w:val="en-GB"/>
        </w:rPr>
        <w:t xml:space="preserve">procurement and </w:t>
      </w:r>
      <w:r>
        <w:rPr>
          <w:rFonts w:cstheme="minorHAnsi"/>
          <w:sz w:val="24"/>
          <w:szCs w:val="24"/>
          <w:lang w:val="en-GB"/>
        </w:rPr>
        <w:t xml:space="preserve">processing should be performed </w:t>
      </w:r>
      <w:r w:rsidR="00736647">
        <w:rPr>
          <w:rFonts w:cstheme="minorHAnsi"/>
          <w:sz w:val="24"/>
          <w:szCs w:val="24"/>
          <w:lang w:val="en-GB"/>
        </w:rPr>
        <w:t xml:space="preserve">using aseptic techniques </w:t>
      </w:r>
      <w:r w:rsidR="00DE39D5">
        <w:rPr>
          <w:rFonts w:cstheme="minorHAnsi"/>
          <w:sz w:val="24"/>
          <w:szCs w:val="24"/>
          <w:lang w:val="en-GB"/>
        </w:rPr>
        <w:t>and/</w:t>
      </w:r>
      <w:r w:rsidR="00736647">
        <w:rPr>
          <w:rFonts w:cstheme="minorHAnsi"/>
          <w:sz w:val="24"/>
          <w:szCs w:val="24"/>
          <w:lang w:val="en-GB"/>
        </w:rPr>
        <w:t xml:space="preserve">or </w:t>
      </w:r>
      <w:r>
        <w:rPr>
          <w:rFonts w:cstheme="minorHAnsi"/>
          <w:sz w:val="24"/>
          <w:szCs w:val="24"/>
          <w:lang w:val="en-GB"/>
        </w:rPr>
        <w:t xml:space="preserve">in aseptic </w:t>
      </w:r>
      <w:r w:rsidR="00DE39D5">
        <w:rPr>
          <w:rFonts w:cstheme="minorHAnsi"/>
          <w:sz w:val="24"/>
          <w:szCs w:val="24"/>
          <w:lang w:val="en-GB"/>
        </w:rPr>
        <w:t>environment</w:t>
      </w:r>
      <w:r>
        <w:rPr>
          <w:rFonts w:cstheme="minorHAnsi"/>
          <w:sz w:val="24"/>
          <w:szCs w:val="24"/>
          <w:lang w:val="en-GB"/>
        </w:rPr>
        <w:t xml:space="preserve">. Requirements for these </w:t>
      </w:r>
      <w:r w:rsidR="00CD0ABA">
        <w:rPr>
          <w:rFonts w:cstheme="minorHAnsi"/>
          <w:sz w:val="24"/>
          <w:szCs w:val="24"/>
          <w:lang w:val="en-GB"/>
        </w:rPr>
        <w:t xml:space="preserve">and of </w:t>
      </w:r>
      <w:r w:rsidR="00CD0ABA" w:rsidRPr="00CD0ABA">
        <w:rPr>
          <w:rFonts w:cstheme="minorHAnsi"/>
          <w:sz w:val="24"/>
          <w:szCs w:val="24"/>
          <w:lang w:val="en-GB"/>
        </w:rPr>
        <w:t>environmental</w:t>
      </w:r>
      <w:r w:rsidR="00CD0ABA">
        <w:rPr>
          <w:rFonts w:cstheme="minorHAnsi"/>
          <w:sz w:val="24"/>
          <w:szCs w:val="24"/>
          <w:lang w:val="en-GB"/>
        </w:rPr>
        <w:t xml:space="preserve"> </w:t>
      </w:r>
      <w:r w:rsidR="00CD0ABA" w:rsidRPr="00CD0ABA">
        <w:rPr>
          <w:rFonts w:cstheme="minorHAnsi"/>
          <w:sz w:val="24"/>
          <w:szCs w:val="24"/>
          <w:lang w:val="en-GB"/>
        </w:rPr>
        <w:t xml:space="preserve">microbiological monitoring </w:t>
      </w:r>
      <w:r>
        <w:rPr>
          <w:rFonts w:cstheme="minorHAnsi"/>
          <w:sz w:val="24"/>
          <w:szCs w:val="24"/>
          <w:lang w:val="en-GB"/>
        </w:rPr>
        <w:t xml:space="preserve">are not in scope of this guidance (see </w:t>
      </w:r>
      <w:r w:rsidR="003D67C3">
        <w:rPr>
          <w:rFonts w:cstheme="minorHAnsi"/>
          <w:sz w:val="24"/>
          <w:szCs w:val="24"/>
          <w:lang w:val="en-GB"/>
        </w:rPr>
        <w:t xml:space="preserve">EudraLex Vol 4 Annex I for </w:t>
      </w:r>
      <w:r w:rsidR="0058428E">
        <w:rPr>
          <w:rFonts w:cstheme="minorHAnsi"/>
          <w:sz w:val="24"/>
          <w:szCs w:val="24"/>
          <w:lang w:val="en-GB"/>
        </w:rPr>
        <w:t>air quality requirements and</w:t>
      </w:r>
      <w:r w:rsidR="001923BA">
        <w:rPr>
          <w:rFonts w:cstheme="minorHAnsi"/>
          <w:sz w:val="24"/>
          <w:szCs w:val="24"/>
          <w:lang w:val="en-GB"/>
        </w:rPr>
        <w:t xml:space="preserve"> </w:t>
      </w:r>
      <w:r>
        <w:rPr>
          <w:rFonts w:cstheme="minorHAnsi"/>
          <w:sz w:val="24"/>
          <w:szCs w:val="24"/>
          <w:lang w:val="en-GB"/>
        </w:rPr>
        <w:t>for example JPAC General guidelines for tissue processing, section 21.5.1).</w:t>
      </w:r>
    </w:p>
    <w:p w14:paraId="4F0E9119" w14:textId="6640ED90" w:rsidR="00E63741" w:rsidRDefault="00E63741" w:rsidP="0011204D">
      <w:pPr>
        <w:jc w:val="both"/>
        <w:rPr>
          <w:rFonts w:cstheme="minorHAnsi"/>
          <w:sz w:val="24"/>
          <w:szCs w:val="24"/>
          <w:lang w:val="en-GB"/>
        </w:rPr>
      </w:pPr>
      <w:r>
        <w:rPr>
          <w:rFonts w:cstheme="minorHAnsi"/>
          <w:sz w:val="24"/>
          <w:szCs w:val="24"/>
          <w:lang w:val="en-GB"/>
        </w:rPr>
        <w:t>Previous chapter 4.4</w:t>
      </w:r>
      <w:r w:rsidRPr="00F70C2B">
        <w:rPr>
          <w:rFonts w:cstheme="minorHAnsi"/>
          <w:sz w:val="24"/>
          <w:szCs w:val="24"/>
          <w:lang w:val="en-GB"/>
        </w:rPr>
        <w:t xml:space="preserve"> </w:t>
      </w:r>
      <w:r>
        <w:rPr>
          <w:rFonts w:cstheme="minorHAnsi"/>
          <w:sz w:val="24"/>
          <w:szCs w:val="24"/>
          <w:lang w:val="en-GB"/>
        </w:rPr>
        <w:t>apply also to this chapter 6.</w:t>
      </w:r>
    </w:p>
    <w:p w14:paraId="15841E63" w14:textId="77777777" w:rsidR="001901A3" w:rsidRDefault="001901A3" w:rsidP="0011204D">
      <w:pPr>
        <w:jc w:val="both"/>
        <w:rPr>
          <w:rFonts w:cstheme="minorHAnsi"/>
          <w:sz w:val="24"/>
          <w:szCs w:val="24"/>
        </w:rPr>
      </w:pPr>
    </w:p>
    <w:p w14:paraId="1A65F3C5" w14:textId="308AF127" w:rsidR="00D01D1A" w:rsidRPr="000F061E" w:rsidRDefault="00A92D05" w:rsidP="009A297D">
      <w:pPr>
        <w:pStyle w:val="Heading2"/>
        <w:numPr>
          <w:ilvl w:val="1"/>
          <w:numId w:val="18"/>
        </w:numPr>
      </w:pPr>
      <w:bookmarkStart w:id="44" w:name="_Toc41427179"/>
      <w:r>
        <w:t xml:space="preserve">Common requirements </w:t>
      </w:r>
      <w:r w:rsidR="00D01D1A" w:rsidRPr="000F061E">
        <w:t>applicable to all BTC</w:t>
      </w:r>
      <w:bookmarkEnd w:id="44"/>
    </w:p>
    <w:p w14:paraId="3772BCE8" w14:textId="77777777" w:rsidR="0041218C" w:rsidRDefault="0041218C" w:rsidP="0041218C">
      <w:pPr>
        <w:jc w:val="both"/>
        <w:rPr>
          <w:rFonts w:cstheme="minorHAnsi"/>
          <w:sz w:val="24"/>
          <w:szCs w:val="24"/>
        </w:rPr>
      </w:pPr>
    </w:p>
    <w:p w14:paraId="7F0CD4A2" w14:textId="40EB52BD" w:rsidR="00305F20" w:rsidRDefault="007310DB" w:rsidP="008E7F31">
      <w:pPr>
        <w:jc w:val="both"/>
        <w:rPr>
          <w:rFonts w:cstheme="minorHAnsi"/>
          <w:sz w:val="24"/>
          <w:szCs w:val="24"/>
        </w:rPr>
      </w:pPr>
      <w:r w:rsidRPr="00923401">
        <w:rPr>
          <w:rFonts w:cstheme="minorHAnsi"/>
          <w:sz w:val="24"/>
          <w:szCs w:val="24"/>
        </w:rPr>
        <w:t>The</w:t>
      </w:r>
      <w:r>
        <w:rPr>
          <w:rFonts w:cstheme="minorHAnsi"/>
          <w:sz w:val="24"/>
          <w:szCs w:val="24"/>
        </w:rPr>
        <w:t xml:space="preserve"> </w:t>
      </w:r>
      <w:r w:rsidRPr="00923401">
        <w:rPr>
          <w:rFonts w:cstheme="minorHAnsi"/>
          <w:sz w:val="24"/>
          <w:szCs w:val="24"/>
        </w:rPr>
        <w:t xml:space="preserve">aim </w:t>
      </w:r>
      <w:r>
        <w:rPr>
          <w:rFonts w:cstheme="minorHAnsi"/>
          <w:sz w:val="24"/>
          <w:szCs w:val="24"/>
        </w:rPr>
        <w:t xml:space="preserve">in BTC processing </w:t>
      </w:r>
      <w:r w:rsidR="00DE39D5">
        <w:rPr>
          <w:rFonts w:cstheme="minorHAnsi"/>
          <w:sz w:val="24"/>
          <w:szCs w:val="24"/>
        </w:rPr>
        <w:t>is to produce non-infectious</w:t>
      </w:r>
      <w:r w:rsidRPr="00923401">
        <w:rPr>
          <w:rFonts w:cstheme="minorHAnsi"/>
          <w:sz w:val="24"/>
          <w:szCs w:val="24"/>
        </w:rPr>
        <w:t xml:space="preserve"> </w:t>
      </w:r>
      <w:r w:rsidR="00DE39D5">
        <w:rPr>
          <w:rFonts w:cstheme="minorHAnsi"/>
          <w:sz w:val="24"/>
          <w:szCs w:val="24"/>
        </w:rPr>
        <w:t>final BTC</w:t>
      </w:r>
      <w:r w:rsidR="00FC7585">
        <w:rPr>
          <w:rFonts w:cstheme="minorHAnsi"/>
          <w:sz w:val="24"/>
          <w:szCs w:val="24"/>
        </w:rPr>
        <w:t xml:space="preserve"> </w:t>
      </w:r>
      <w:r w:rsidR="00DE39D5">
        <w:rPr>
          <w:rFonts w:cstheme="minorHAnsi"/>
          <w:sz w:val="24"/>
          <w:szCs w:val="24"/>
        </w:rPr>
        <w:t xml:space="preserve">products </w:t>
      </w:r>
      <w:r w:rsidR="00FC7585">
        <w:rPr>
          <w:rFonts w:cstheme="minorHAnsi"/>
          <w:sz w:val="24"/>
          <w:szCs w:val="24"/>
        </w:rPr>
        <w:t>which contain as few as possible micro-organisms</w:t>
      </w:r>
      <w:r w:rsidRPr="00923401">
        <w:rPr>
          <w:rFonts w:cstheme="minorHAnsi"/>
          <w:sz w:val="24"/>
          <w:szCs w:val="24"/>
        </w:rPr>
        <w:t xml:space="preserve">, but a very high degree of </w:t>
      </w:r>
      <w:r w:rsidR="00FC7585">
        <w:rPr>
          <w:rFonts w:cstheme="minorHAnsi"/>
          <w:sz w:val="24"/>
          <w:szCs w:val="24"/>
        </w:rPr>
        <w:t>“</w:t>
      </w:r>
      <w:r w:rsidRPr="00923401">
        <w:rPr>
          <w:rFonts w:cstheme="minorHAnsi"/>
          <w:sz w:val="24"/>
          <w:szCs w:val="24"/>
        </w:rPr>
        <w:t>purity</w:t>
      </w:r>
      <w:r w:rsidR="00FC7585">
        <w:rPr>
          <w:rFonts w:cstheme="minorHAnsi"/>
          <w:sz w:val="24"/>
          <w:szCs w:val="24"/>
        </w:rPr>
        <w:t>”</w:t>
      </w:r>
      <w:r>
        <w:rPr>
          <w:rFonts w:cstheme="minorHAnsi"/>
          <w:sz w:val="24"/>
          <w:szCs w:val="24"/>
        </w:rPr>
        <w:t xml:space="preserve"> </w:t>
      </w:r>
      <w:r w:rsidRPr="00923401">
        <w:rPr>
          <w:rFonts w:cstheme="minorHAnsi"/>
          <w:sz w:val="24"/>
          <w:szCs w:val="24"/>
        </w:rPr>
        <w:t>can be difficult and expensive to obtain and might not even be necessary</w:t>
      </w:r>
      <w:r>
        <w:rPr>
          <w:rFonts w:cstheme="minorHAnsi"/>
          <w:sz w:val="24"/>
          <w:szCs w:val="24"/>
        </w:rPr>
        <w:t xml:space="preserve"> </w:t>
      </w:r>
      <w:r w:rsidRPr="00923401">
        <w:rPr>
          <w:rFonts w:cstheme="minorHAnsi"/>
          <w:sz w:val="24"/>
          <w:szCs w:val="24"/>
        </w:rPr>
        <w:t>in all instances.</w:t>
      </w:r>
      <w:r>
        <w:rPr>
          <w:rFonts w:cstheme="minorHAnsi"/>
          <w:sz w:val="24"/>
          <w:szCs w:val="24"/>
        </w:rPr>
        <w:t xml:space="preserve"> </w:t>
      </w:r>
    </w:p>
    <w:p w14:paraId="004BF726" w14:textId="62200C4A" w:rsidR="00397002" w:rsidRDefault="00397002" w:rsidP="00397002">
      <w:pPr>
        <w:jc w:val="both"/>
        <w:rPr>
          <w:rFonts w:cstheme="minorHAnsi"/>
          <w:sz w:val="24"/>
          <w:szCs w:val="24"/>
        </w:rPr>
      </w:pPr>
      <w:r>
        <w:rPr>
          <w:rFonts w:cstheme="minorHAnsi"/>
          <w:sz w:val="24"/>
          <w:szCs w:val="24"/>
        </w:rPr>
        <w:lastRenderedPageBreak/>
        <w:t>D</w:t>
      </w:r>
      <w:r w:rsidRPr="00397002">
        <w:rPr>
          <w:rFonts w:cstheme="minorHAnsi"/>
          <w:sz w:val="24"/>
          <w:szCs w:val="24"/>
        </w:rPr>
        <w:t xml:space="preserve">ifferences </w:t>
      </w:r>
      <w:r>
        <w:rPr>
          <w:rFonts w:cstheme="minorHAnsi"/>
          <w:sz w:val="24"/>
          <w:szCs w:val="24"/>
        </w:rPr>
        <w:t xml:space="preserve">in BTC </w:t>
      </w:r>
      <w:r w:rsidRPr="00397002">
        <w:rPr>
          <w:rFonts w:cstheme="minorHAnsi"/>
          <w:sz w:val="24"/>
          <w:szCs w:val="24"/>
        </w:rPr>
        <w:t>make it difficult</w:t>
      </w:r>
      <w:r>
        <w:rPr>
          <w:rFonts w:cstheme="minorHAnsi"/>
          <w:sz w:val="24"/>
          <w:szCs w:val="24"/>
        </w:rPr>
        <w:t xml:space="preserve"> </w:t>
      </w:r>
      <w:r w:rsidRPr="00397002">
        <w:rPr>
          <w:rFonts w:cstheme="minorHAnsi"/>
          <w:sz w:val="24"/>
          <w:szCs w:val="24"/>
        </w:rPr>
        <w:t>to establish a general rule for microbiological</w:t>
      </w:r>
      <w:r>
        <w:rPr>
          <w:rFonts w:cstheme="minorHAnsi"/>
          <w:sz w:val="24"/>
          <w:szCs w:val="24"/>
        </w:rPr>
        <w:t xml:space="preserve"> </w:t>
      </w:r>
      <w:r w:rsidRPr="00397002">
        <w:rPr>
          <w:rFonts w:cstheme="minorHAnsi"/>
          <w:sz w:val="24"/>
          <w:szCs w:val="24"/>
        </w:rPr>
        <w:t>testing</w:t>
      </w:r>
      <w:r>
        <w:rPr>
          <w:rFonts w:cstheme="minorHAnsi"/>
          <w:sz w:val="24"/>
          <w:szCs w:val="24"/>
        </w:rPr>
        <w:t xml:space="preserve"> requirements</w:t>
      </w:r>
      <w:r w:rsidR="00D142B2">
        <w:rPr>
          <w:rFonts w:cstheme="minorHAnsi"/>
          <w:sz w:val="24"/>
          <w:szCs w:val="24"/>
        </w:rPr>
        <w:t xml:space="preserve"> (see Table X)</w:t>
      </w:r>
      <w:r w:rsidRPr="00397002">
        <w:rPr>
          <w:rFonts w:cstheme="minorHAnsi"/>
          <w:sz w:val="24"/>
          <w:szCs w:val="24"/>
        </w:rPr>
        <w:t xml:space="preserve">. Therefore, for each procedure, </w:t>
      </w:r>
      <w:r>
        <w:rPr>
          <w:rFonts w:cstheme="minorHAnsi"/>
          <w:sz w:val="24"/>
          <w:szCs w:val="24"/>
        </w:rPr>
        <w:t>risk assessment</w:t>
      </w:r>
      <w:r w:rsidRPr="00397002">
        <w:rPr>
          <w:rFonts w:cstheme="minorHAnsi"/>
          <w:sz w:val="24"/>
          <w:szCs w:val="24"/>
        </w:rPr>
        <w:t xml:space="preserve"> should be applied to determine</w:t>
      </w:r>
      <w:r>
        <w:rPr>
          <w:rFonts w:cstheme="minorHAnsi"/>
          <w:sz w:val="24"/>
          <w:szCs w:val="24"/>
        </w:rPr>
        <w:t xml:space="preserve"> </w:t>
      </w:r>
      <w:r w:rsidRPr="00397002">
        <w:rPr>
          <w:rFonts w:cstheme="minorHAnsi"/>
          <w:sz w:val="24"/>
          <w:szCs w:val="24"/>
        </w:rPr>
        <w:t>the quality-control strategy to be followed</w:t>
      </w:r>
      <w:r>
        <w:rPr>
          <w:rFonts w:cstheme="minorHAnsi"/>
          <w:sz w:val="24"/>
          <w:szCs w:val="24"/>
        </w:rPr>
        <w:t xml:space="preserve"> </w:t>
      </w:r>
      <w:r w:rsidRPr="00397002">
        <w:rPr>
          <w:rFonts w:cstheme="minorHAnsi"/>
          <w:sz w:val="24"/>
          <w:szCs w:val="24"/>
        </w:rPr>
        <w:t>through the whole process and to identify critical</w:t>
      </w:r>
      <w:r>
        <w:rPr>
          <w:rFonts w:cstheme="minorHAnsi"/>
          <w:sz w:val="24"/>
          <w:szCs w:val="24"/>
        </w:rPr>
        <w:t xml:space="preserve"> </w:t>
      </w:r>
      <w:r w:rsidRPr="00397002">
        <w:rPr>
          <w:rFonts w:cstheme="minorHAnsi"/>
          <w:sz w:val="24"/>
          <w:szCs w:val="24"/>
        </w:rPr>
        <w:t>steps to reduce the possibility of contamination and</w:t>
      </w:r>
      <w:r>
        <w:rPr>
          <w:rFonts w:cstheme="minorHAnsi"/>
          <w:sz w:val="24"/>
          <w:szCs w:val="24"/>
        </w:rPr>
        <w:t xml:space="preserve"> </w:t>
      </w:r>
      <w:r w:rsidRPr="00397002">
        <w:rPr>
          <w:rFonts w:cstheme="minorHAnsi"/>
          <w:sz w:val="24"/>
          <w:szCs w:val="24"/>
        </w:rPr>
        <w:t>cross-contamination.</w:t>
      </w:r>
    </w:p>
    <w:p w14:paraId="0DC1012A" w14:textId="77777777" w:rsidR="00854F99" w:rsidRPr="008206A0" w:rsidRDefault="00854F99" w:rsidP="00854F99">
      <w:pPr>
        <w:jc w:val="both"/>
        <w:rPr>
          <w:rFonts w:cstheme="minorHAnsi"/>
          <w:sz w:val="24"/>
          <w:szCs w:val="24"/>
          <w:lang w:val="en-GB"/>
        </w:rPr>
      </w:pPr>
      <w:r w:rsidRPr="008206A0">
        <w:rPr>
          <w:rFonts w:cstheme="minorHAnsi"/>
          <w:sz w:val="24"/>
          <w:szCs w:val="24"/>
          <w:lang w:val="en-GB"/>
        </w:rPr>
        <w:t xml:space="preserve">Microbiological safety of </w:t>
      </w:r>
      <w:r>
        <w:rPr>
          <w:rFonts w:cstheme="minorHAnsi"/>
          <w:sz w:val="24"/>
          <w:szCs w:val="24"/>
          <w:lang w:val="en-GB"/>
        </w:rPr>
        <w:t>BTC</w:t>
      </w:r>
      <w:r w:rsidRPr="008206A0">
        <w:rPr>
          <w:rFonts w:cstheme="minorHAnsi"/>
          <w:sz w:val="24"/>
          <w:szCs w:val="24"/>
          <w:lang w:val="en-GB"/>
        </w:rPr>
        <w:t xml:space="preserve"> is </w:t>
      </w:r>
      <w:r>
        <w:rPr>
          <w:rFonts w:cstheme="minorHAnsi"/>
          <w:sz w:val="24"/>
          <w:szCs w:val="24"/>
          <w:lang w:val="en-GB"/>
        </w:rPr>
        <w:t>guaranteed</w:t>
      </w:r>
      <w:r w:rsidRPr="008206A0">
        <w:rPr>
          <w:rFonts w:cstheme="minorHAnsi"/>
          <w:sz w:val="24"/>
          <w:szCs w:val="24"/>
          <w:lang w:val="en-GB"/>
        </w:rPr>
        <w:t xml:space="preserve"> by microbiological testing using validated methods of known sensitivity and specificity. Currently such m</w:t>
      </w:r>
      <w:r>
        <w:rPr>
          <w:rFonts w:cstheme="minorHAnsi"/>
          <w:sz w:val="24"/>
          <w:szCs w:val="24"/>
          <w:lang w:val="en-GB"/>
        </w:rPr>
        <w:t>ethods are primarily compendial m</w:t>
      </w:r>
      <w:r w:rsidRPr="008206A0">
        <w:rPr>
          <w:rFonts w:cstheme="minorHAnsi"/>
          <w:sz w:val="24"/>
          <w:szCs w:val="24"/>
          <w:lang w:val="en-GB"/>
        </w:rPr>
        <w:t>icrobiological methods of the European Pharmacopoeia (</w:t>
      </w:r>
      <w:r w:rsidRPr="004B2A26">
        <w:rPr>
          <w:rFonts w:cstheme="minorHAnsi"/>
          <w:i/>
          <w:sz w:val="24"/>
          <w:szCs w:val="24"/>
          <w:lang w:val="en-GB"/>
        </w:rPr>
        <w:t>Ph. Eur.</w:t>
      </w:r>
      <w:r w:rsidRPr="008206A0">
        <w:rPr>
          <w:rFonts w:cstheme="minorHAnsi"/>
          <w:sz w:val="24"/>
          <w:szCs w:val="24"/>
          <w:lang w:val="en-GB"/>
        </w:rPr>
        <w:t>)</w:t>
      </w:r>
      <w:r>
        <w:rPr>
          <w:rFonts w:cstheme="minorHAnsi"/>
          <w:sz w:val="24"/>
          <w:szCs w:val="24"/>
          <w:lang w:val="en-GB"/>
        </w:rPr>
        <w:t>.</w:t>
      </w:r>
      <w:r w:rsidRPr="008206A0">
        <w:rPr>
          <w:rFonts w:cstheme="minorHAnsi"/>
          <w:sz w:val="24"/>
          <w:szCs w:val="24"/>
          <w:lang w:val="en-GB"/>
        </w:rPr>
        <w:t xml:space="preserve"> Microbiological testing of final </w:t>
      </w:r>
      <w:r>
        <w:rPr>
          <w:rFonts w:cstheme="minorHAnsi"/>
          <w:sz w:val="24"/>
          <w:szCs w:val="24"/>
          <w:lang w:val="en-GB"/>
        </w:rPr>
        <w:t xml:space="preserve">BTC </w:t>
      </w:r>
      <w:r w:rsidRPr="008206A0">
        <w:rPr>
          <w:rFonts w:cstheme="minorHAnsi"/>
          <w:sz w:val="24"/>
          <w:szCs w:val="24"/>
          <w:lang w:val="en-GB"/>
        </w:rPr>
        <w:t xml:space="preserve">products </w:t>
      </w:r>
      <w:r>
        <w:rPr>
          <w:rFonts w:cstheme="minorHAnsi"/>
          <w:sz w:val="24"/>
          <w:szCs w:val="24"/>
          <w:lang w:val="en-GB"/>
        </w:rPr>
        <w:t>should be performed by an authoris</w:t>
      </w:r>
      <w:r w:rsidRPr="008206A0">
        <w:rPr>
          <w:rFonts w:cstheme="minorHAnsi"/>
          <w:sz w:val="24"/>
          <w:szCs w:val="24"/>
          <w:lang w:val="en-GB"/>
        </w:rPr>
        <w:t xml:space="preserve">ed </w:t>
      </w:r>
      <w:r>
        <w:rPr>
          <w:rFonts w:cstheme="minorHAnsi"/>
          <w:sz w:val="24"/>
          <w:szCs w:val="24"/>
          <w:lang w:val="en-GB"/>
        </w:rPr>
        <w:t>testing</w:t>
      </w:r>
      <w:r w:rsidRPr="008206A0">
        <w:rPr>
          <w:rFonts w:cstheme="minorHAnsi"/>
          <w:sz w:val="24"/>
          <w:szCs w:val="24"/>
          <w:lang w:val="en-GB"/>
        </w:rPr>
        <w:t xml:space="preserve"> laboratory </w:t>
      </w:r>
      <w:r>
        <w:rPr>
          <w:rFonts w:cstheme="minorHAnsi"/>
          <w:sz w:val="24"/>
          <w:szCs w:val="24"/>
          <w:lang w:val="en-GB"/>
        </w:rPr>
        <w:t xml:space="preserve">(see chapter 2) </w:t>
      </w:r>
      <w:r w:rsidRPr="008206A0">
        <w:rPr>
          <w:rFonts w:cstheme="minorHAnsi"/>
          <w:sz w:val="24"/>
          <w:szCs w:val="24"/>
          <w:lang w:val="en-GB"/>
        </w:rPr>
        <w:t>and in compliance with Ph. Eur. requirements</w:t>
      </w:r>
      <w:r>
        <w:rPr>
          <w:rFonts w:cstheme="minorHAnsi"/>
          <w:sz w:val="24"/>
          <w:szCs w:val="24"/>
          <w:lang w:val="en-GB"/>
        </w:rPr>
        <w:t xml:space="preserve"> (see chapter 4.4)</w:t>
      </w:r>
      <w:r w:rsidRPr="008206A0">
        <w:rPr>
          <w:rFonts w:cstheme="minorHAnsi"/>
          <w:sz w:val="24"/>
          <w:szCs w:val="24"/>
          <w:lang w:val="en-GB"/>
        </w:rPr>
        <w:t>.</w:t>
      </w:r>
      <w:r>
        <w:rPr>
          <w:rFonts w:cstheme="minorHAnsi"/>
          <w:sz w:val="24"/>
          <w:szCs w:val="24"/>
          <w:lang w:val="en-GB"/>
        </w:rPr>
        <w:t xml:space="preserve"> </w:t>
      </w:r>
    </w:p>
    <w:p w14:paraId="0C8E1000" w14:textId="77777777" w:rsidR="00854F99" w:rsidRDefault="00854F99" w:rsidP="00854F99">
      <w:pPr>
        <w:jc w:val="both"/>
        <w:rPr>
          <w:rFonts w:cstheme="minorHAnsi"/>
          <w:sz w:val="24"/>
          <w:szCs w:val="24"/>
        </w:rPr>
      </w:pPr>
      <w:r>
        <w:rPr>
          <w:rFonts w:cstheme="minorHAnsi"/>
          <w:sz w:val="24"/>
          <w:szCs w:val="24"/>
        </w:rPr>
        <w:t xml:space="preserve">Wherever possible, representative samples of BTC should be removed and tested for bacterial and fungal contamination using protocols authorised by designated personnel. Swabs, contact solutions or other validated non-destructive sampling methods should be used where it is impossible to remove sample without damaging the BTC graft. (EDQM T&amp;C Guide 10.3.1, </w:t>
      </w:r>
      <w:r>
        <w:rPr>
          <w:rFonts w:cstheme="minorHAnsi"/>
          <w:sz w:val="24"/>
          <w:szCs w:val="24"/>
          <w:lang w:val="en-GB"/>
        </w:rPr>
        <w:t>JPAC General guidelines for tissue processing 21.5.2).</w:t>
      </w:r>
      <w:r w:rsidRPr="00243560">
        <w:rPr>
          <w:rFonts w:cstheme="minorHAnsi"/>
          <w:sz w:val="24"/>
          <w:szCs w:val="24"/>
        </w:rPr>
        <w:t xml:space="preserve"> </w:t>
      </w:r>
      <w:r w:rsidRPr="000B14E8">
        <w:rPr>
          <w:rFonts w:cstheme="minorHAnsi"/>
          <w:sz w:val="24"/>
          <w:szCs w:val="24"/>
        </w:rPr>
        <w:t xml:space="preserve">Aseptic techniques </w:t>
      </w:r>
      <w:r>
        <w:rPr>
          <w:rFonts w:cstheme="minorHAnsi"/>
          <w:sz w:val="24"/>
          <w:szCs w:val="24"/>
        </w:rPr>
        <w:t xml:space="preserve">to obtain sample </w:t>
      </w:r>
      <w:r w:rsidRPr="000B14E8">
        <w:rPr>
          <w:rFonts w:cstheme="minorHAnsi"/>
          <w:sz w:val="24"/>
          <w:szCs w:val="24"/>
        </w:rPr>
        <w:t>are required in order to</w:t>
      </w:r>
      <w:r>
        <w:rPr>
          <w:rFonts w:cstheme="minorHAnsi"/>
          <w:sz w:val="24"/>
          <w:szCs w:val="24"/>
        </w:rPr>
        <w:t xml:space="preserve"> </w:t>
      </w:r>
      <w:r w:rsidRPr="000B14E8">
        <w:rPr>
          <w:rFonts w:cstheme="minorHAnsi"/>
          <w:sz w:val="24"/>
          <w:szCs w:val="24"/>
        </w:rPr>
        <w:t>minimise the risk of false positive cultures due to contamination at</w:t>
      </w:r>
      <w:r>
        <w:rPr>
          <w:rFonts w:cstheme="minorHAnsi"/>
          <w:sz w:val="24"/>
          <w:szCs w:val="24"/>
        </w:rPr>
        <w:t xml:space="preserve"> </w:t>
      </w:r>
      <w:r w:rsidRPr="000B14E8">
        <w:rPr>
          <w:rFonts w:cstheme="minorHAnsi"/>
          <w:sz w:val="24"/>
          <w:szCs w:val="24"/>
        </w:rPr>
        <w:t xml:space="preserve">the time of sampling or upon inoculation in culture. Additionally, a sample </w:t>
      </w:r>
      <w:r>
        <w:rPr>
          <w:rFonts w:cstheme="minorHAnsi"/>
          <w:sz w:val="24"/>
          <w:szCs w:val="24"/>
        </w:rPr>
        <w:t>is recommended to be retained</w:t>
      </w:r>
      <w:r w:rsidRPr="000B14E8">
        <w:rPr>
          <w:rFonts w:cstheme="minorHAnsi"/>
          <w:sz w:val="24"/>
          <w:szCs w:val="24"/>
        </w:rPr>
        <w:t xml:space="preserve"> that can be used for repeat culture to validate</w:t>
      </w:r>
      <w:r>
        <w:rPr>
          <w:rFonts w:cstheme="minorHAnsi"/>
          <w:sz w:val="24"/>
          <w:szCs w:val="24"/>
        </w:rPr>
        <w:t xml:space="preserve"> </w:t>
      </w:r>
      <w:r w:rsidRPr="000B14E8">
        <w:rPr>
          <w:rFonts w:cstheme="minorHAnsi"/>
          <w:sz w:val="24"/>
          <w:szCs w:val="24"/>
        </w:rPr>
        <w:t>a positive result.</w:t>
      </w:r>
      <w:r>
        <w:rPr>
          <w:rFonts w:cstheme="minorHAnsi"/>
          <w:sz w:val="24"/>
          <w:szCs w:val="24"/>
        </w:rPr>
        <w:t xml:space="preserve"> (EDQM Blood Guide, ch. 12)</w:t>
      </w:r>
    </w:p>
    <w:p w14:paraId="35A0929B" w14:textId="77777777" w:rsidR="00854F99" w:rsidRDefault="00854F99" w:rsidP="00854F99">
      <w:pPr>
        <w:jc w:val="both"/>
        <w:rPr>
          <w:rFonts w:cstheme="minorHAnsi"/>
          <w:sz w:val="24"/>
          <w:szCs w:val="24"/>
          <w:lang w:val="en-GB"/>
        </w:rPr>
      </w:pPr>
      <w:r>
        <w:rPr>
          <w:rFonts w:cstheme="minorHAnsi"/>
          <w:sz w:val="24"/>
          <w:szCs w:val="24"/>
          <w:lang w:val="en-GB"/>
        </w:rPr>
        <w:t>In general,</w:t>
      </w:r>
      <w:r w:rsidRPr="00657814">
        <w:rPr>
          <w:rFonts w:cstheme="minorHAnsi"/>
          <w:sz w:val="24"/>
          <w:szCs w:val="24"/>
          <w:lang w:val="en-GB"/>
        </w:rPr>
        <w:t xml:space="preserve"> testing </w:t>
      </w:r>
      <w:r>
        <w:rPr>
          <w:rFonts w:cstheme="minorHAnsi"/>
          <w:sz w:val="24"/>
          <w:szCs w:val="24"/>
          <w:lang w:val="en-GB"/>
        </w:rPr>
        <w:t>is recommended to</w:t>
      </w:r>
      <w:r w:rsidRPr="00657814">
        <w:rPr>
          <w:rFonts w:cstheme="minorHAnsi"/>
          <w:sz w:val="24"/>
          <w:szCs w:val="24"/>
          <w:lang w:val="en-GB"/>
        </w:rPr>
        <w:t xml:space="preserve"> be performed for both pre-processing samples of the procured </w:t>
      </w:r>
      <w:r>
        <w:rPr>
          <w:rFonts w:cstheme="minorHAnsi"/>
          <w:sz w:val="24"/>
          <w:szCs w:val="24"/>
          <w:lang w:val="en-GB"/>
        </w:rPr>
        <w:t xml:space="preserve">BTC </w:t>
      </w:r>
      <w:r w:rsidRPr="00657814">
        <w:rPr>
          <w:rFonts w:cstheme="minorHAnsi"/>
          <w:sz w:val="24"/>
          <w:szCs w:val="24"/>
          <w:lang w:val="en-GB"/>
        </w:rPr>
        <w:t xml:space="preserve">and on post-processing samples of every final </w:t>
      </w:r>
      <w:r>
        <w:rPr>
          <w:rFonts w:cstheme="minorHAnsi"/>
          <w:sz w:val="24"/>
          <w:szCs w:val="24"/>
          <w:lang w:val="en-GB"/>
        </w:rPr>
        <w:t xml:space="preserve">BTC product. </w:t>
      </w:r>
      <w:r w:rsidRPr="00E07A1B">
        <w:rPr>
          <w:rFonts w:cstheme="minorHAnsi"/>
          <w:sz w:val="24"/>
          <w:szCs w:val="24"/>
          <w:lang w:val="en-GB"/>
        </w:rPr>
        <w:t>Sampling</w:t>
      </w:r>
      <w:r>
        <w:rPr>
          <w:rFonts w:cstheme="minorHAnsi"/>
          <w:sz w:val="24"/>
          <w:szCs w:val="24"/>
          <w:lang w:val="en-GB"/>
        </w:rPr>
        <w:t xml:space="preserve"> should</w:t>
      </w:r>
      <w:r w:rsidRPr="00E07A1B">
        <w:rPr>
          <w:rFonts w:cstheme="minorHAnsi"/>
          <w:sz w:val="24"/>
          <w:szCs w:val="24"/>
          <w:lang w:val="en-GB"/>
        </w:rPr>
        <w:t xml:space="preserve"> be </w:t>
      </w:r>
      <w:r>
        <w:rPr>
          <w:rFonts w:cstheme="minorHAnsi"/>
          <w:sz w:val="24"/>
          <w:szCs w:val="24"/>
          <w:lang w:val="en-GB"/>
        </w:rPr>
        <w:t>conducted</w:t>
      </w:r>
      <w:r w:rsidRPr="00E07A1B">
        <w:rPr>
          <w:rFonts w:cstheme="minorHAnsi"/>
          <w:sz w:val="24"/>
          <w:szCs w:val="24"/>
          <w:lang w:val="en-GB"/>
        </w:rPr>
        <w:t xml:space="preserve"> immediately before packaging</w:t>
      </w:r>
      <w:r>
        <w:rPr>
          <w:rFonts w:cstheme="minorHAnsi"/>
          <w:sz w:val="24"/>
          <w:szCs w:val="24"/>
          <w:lang w:val="en-GB"/>
        </w:rPr>
        <w:t xml:space="preserve"> </w:t>
      </w:r>
      <w:r w:rsidRPr="00E07A1B">
        <w:rPr>
          <w:rFonts w:cstheme="minorHAnsi"/>
          <w:sz w:val="24"/>
          <w:szCs w:val="24"/>
          <w:lang w:val="en-GB"/>
        </w:rPr>
        <w:t>or as late as possible during the procurement</w:t>
      </w:r>
      <w:r>
        <w:rPr>
          <w:rFonts w:cstheme="minorHAnsi"/>
          <w:sz w:val="24"/>
          <w:szCs w:val="24"/>
          <w:lang w:val="en-GB"/>
        </w:rPr>
        <w:t xml:space="preserve"> </w:t>
      </w:r>
      <w:r w:rsidRPr="00E07A1B">
        <w:rPr>
          <w:rFonts w:cstheme="minorHAnsi"/>
          <w:sz w:val="24"/>
          <w:szCs w:val="24"/>
          <w:lang w:val="en-GB"/>
        </w:rPr>
        <w:t xml:space="preserve">or </w:t>
      </w:r>
      <w:r>
        <w:rPr>
          <w:rFonts w:cstheme="minorHAnsi"/>
          <w:sz w:val="24"/>
          <w:szCs w:val="24"/>
          <w:lang w:val="en-GB"/>
        </w:rPr>
        <w:t>processing</w:t>
      </w:r>
      <w:r w:rsidRPr="00E07A1B">
        <w:rPr>
          <w:rFonts w:cstheme="minorHAnsi"/>
          <w:sz w:val="24"/>
          <w:szCs w:val="24"/>
          <w:lang w:val="en-GB"/>
        </w:rPr>
        <w:t>.</w:t>
      </w:r>
      <w:r>
        <w:rPr>
          <w:rFonts w:cstheme="minorHAnsi"/>
          <w:sz w:val="24"/>
          <w:szCs w:val="24"/>
          <w:lang w:val="en-GB"/>
        </w:rPr>
        <w:t xml:space="preserve"> (EDQM T&amp;C Guide, 10.3.1).</w:t>
      </w:r>
    </w:p>
    <w:p w14:paraId="5B912454" w14:textId="2D430468" w:rsidR="007310DB" w:rsidRDefault="0026531D" w:rsidP="008E7F31">
      <w:pPr>
        <w:jc w:val="both"/>
        <w:rPr>
          <w:rFonts w:cstheme="minorHAnsi"/>
          <w:sz w:val="24"/>
          <w:szCs w:val="24"/>
          <w:lang w:val="en-GB"/>
        </w:rPr>
      </w:pPr>
      <w:r>
        <w:rPr>
          <w:rFonts w:cstheme="minorHAnsi"/>
          <w:sz w:val="24"/>
          <w:szCs w:val="24"/>
          <w:lang w:val="en-GB"/>
        </w:rPr>
        <w:t>For some BTC, pathogen reduction can be applied (see chapter 4)</w:t>
      </w:r>
      <w:r w:rsidR="00FC7585">
        <w:rPr>
          <w:rFonts w:cstheme="minorHAnsi"/>
          <w:sz w:val="24"/>
          <w:szCs w:val="24"/>
          <w:lang w:val="en-GB"/>
        </w:rPr>
        <w:t xml:space="preserve"> prior of having the final BTC product</w:t>
      </w:r>
      <w:r>
        <w:rPr>
          <w:rFonts w:cstheme="minorHAnsi"/>
          <w:sz w:val="24"/>
          <w:szCs w:val="24"/>
          <w:lang w:val="en-GB"/>
        </w:rPr>
        <w:t>.</w:t>
      </w:r>
      <w:r w:rsidR="008E7F31">
        <w:rPr>
          <w:rFonts w:cstheme="minorHAnsi"/>
          <w:sz w:val="24"/>
          <w:szCs w:val="24"/>
          <w:lang w:val="en-GB"/>
        </w:rPr>
        <w:t xml:space="preserve"> </w:t>
      </w:r>
      <w:r w:rsidR="008E7F31" w:rsidRPr="008E7F31">
        <w:rPr>
          <w:rFonts w:cstheme="minorHAnsi"/>
          <w:sz w:val="24"/>
          <w:szCs w:val="24"/>
          <w:lang w:val="en-GB"/>
        </w:rPr>
        <w:t xml:space="preserve">Further processing after the </w:t>
      </w:r>
      <w:r w:rsidR="008E7F31">
        <w:rPr>
          <w:rFonts w:cstheme="minorHAnsi"/>
          <w:sz w:val="24"/>
          <w:szCs w:val="24"/>
          <w:lang w:val="en-GB"/>
        </w:rPr>
        <w:t xml:space="preserve">pathogen reduction </w:t>
      </w:r>
      <w:r w:rsidR="008E7F31" w:rsidRPr="008E7F31">
        <w:rPr>
          <w:rFonts w:cstheme="minorHAnsi"/>
          <w:sz w:val="24"/>
          <w:szCs w:val="24"/>
          <w:lang w:val="en-GB"/>
        </w:rPr>
        <w:t>step should be conducted without antimicrobial</w:t>
      </w:r>
      <w:r w:rsidR="008E7F31">
        <w:rPr>
          <w:rFonts w:cstheme="minorHAnsi"/>
          <w:sz w:val="24"/>
          <w:szCs w:val="24"/>
          <w:lang w:val="en-GB"/>
        </w:rPr>
        <w:t xml:space="preserve"> </w:t>
      </w:r>
      <w:r w:rsidR="008E7F31" w:rsidRPr="008E7F31">
        <w:rPr>
          <w:rFonts w:cstheme="minorHAnsi"/>
          <w:sz w:val="24"/>
          <w:szCs w:val="24"/>
          <w:lang w:val="en-GB"/>
        </w:rPr>
        <w:t xml:space="preserve">agents. Methods for testing of final </w:t>
      </w:r>
      <w:r w:rsidR="008E7F31">
        <w:rPr>
          <w:rFonts w:cstheme="minorHAnsi"/>
          <w:sz w:val="24"/>
          <w:szCs w:val="24"/>
          <w:lang w:val="en-GB"/>
        </w:rPr>
        <w:t>BTC products</w:t>
      </w:r>
      <w:r w:rsidR="008E7F31" w:rsidRPr="008E7F31">
        <w:rPr>
          <w:rFonts w:cstheme="minorHAnsi"/>
          <w:sz w:val="24"/>
          <w:szCs w:val="24"/>
          <w:lang w:val="en-GB"/>
        </w:rPr>
        <w:t xml:space="preserve"> must be evaluated carefully with respect to</w:t>
      </w:r>
      <w:r w:rsidR="008E7F31">
        <w:rPr>
          <w:rFonts w:cstheme="minorHAnsi"/>
          <w:sz w:val="24"/>
          <w:szCs w:val="24"/>
          <w:lang w:val="en-GB"/>
        </w:rPr>
        <w:t xml:space="preserve"> possible inhibition of microbiologica</w:t>
      </w:r>
      <w:r w:rsidR="008E7F31" w:rsidRPr="008E7F31">
        <w:rPr>
          <w:rFonts w:cstheme="minorHAnsi"/>
          <w:sz w:val="24"/>
          <w:szCs w:val="24"/>
          <w:lang w:val="en-GB"/>
        </w:rPr>
        <w:t>l growth due to decontaminating</w:t>
      </w:r>
      <w:r w:rsidR="008E7F31">
        <w:rPr>
          <w:rFonts w:cstheme="minorHAnsi"/>
          <w:sz w:val="24"/>
          <w:szCs w:val="24"/>
          <w:lang w:val="en-GB"/>
        </w:rPr>
        <w:t xml:space="preserve"> </w:t>
      </w:r>
      <w:r w:rsidR="008E7F31" w:rsidRPr="008E7F31">
        <w:rPr>
          <w:rFonts w:cstheme="minorHAnsi"/>
          <w:sz w:val="24"/>
          <w:szCs w:val="24"/>
          <w:lang w:val="en-GB"/>
        </w:rPr>
        <w:t>agents o</w:t>
      </w:r>
      <w:r w:rsidR="008E7F31">
        <w:rPr>
          <w:rFonts w:cstheme="minorHAnsi"/>
          <w:sz w:val="24"/>
          <w:szCs w:val="24"/>
          <w:lang w:val="en-GB"/>
        </w:rPr>
        <w:t>r their residues (EDQM T&amp;C Guide, 10.3.5.3).</w:t>
      </w:r>
    </w:p>
    <w:p w14:paraId="4D7E843F" w14:textId="6F9D89EA" w:rsidR="00657814" w:rsidRPr="00657814" w:rsidRDefault="008508B1" w:rsidP="003F4D09">
      <w:pPr>
        <w:jc w:val="both"/>
        <w:rPr>
          <w:rFonts w:cstheme="minorHAnsi"/>
          <w:sz w:val="24"/>
          <w:szCs w:val="24"/>
          <w:lang w:val="en-GB"/>
        </w:rPr>
      </w:pPr>
      <w:r>
        <w:rPr>
          <w:rFonts w:cstheme="minorHAnsi"/>
          <w:sz w:val="24"/>
          <w:szCs w:val="24"/>
          <w:lang w:val="en-GB"/>
        </w:rPr>
        <w:t>BTC</w:t>
      </w:r>
      <w:r w:rsidR="00657814" w:rsidRPr="00657814">
        <w:rPr>
          <w:rFonts w:cstheme="minorHAnsi"/>
          <w:sz w:val="24"/>
          <w:szCs w:val="24"/>
          <w:lang w:val="en-GB"/>
        </w:rPr>
        <w:t xml:space="preserve"> with a short shelf-life may be released based on negative-to-date result</w:t>
      </w:r>
      <w:r>
        <w:rPr>
          <w:rFonts w:cstheme="minorHAnsi"/>
          <w:sz w:val="24"/>
          <w:szCs w:val="24"/>
          <w:lang w:val="en-GB"/>
        </w:rPr>
        <w:t>s</w:t>
      </w:r>
      <w:r w:rsidR="00657814" w:rsidRPr="00657814">
        <w:rPr>
          <w:rFonts w:cstheme="minorHAnsi"/>
          <w:sz w:val="24"/>
          <w:szCs w:val="24"/>
          <w:lang w:val="en-GB"/>
        </w:rPr>
        <w:t xml:space="preserve">. </w:t>
      </w:r>
      <w:r w:rsidR="00115194" w:rsidRPr="00115194">
        <w:rPr>
          <w:rFonts w:cstheme="minorHAnsi"/>
          <w:sz w:val="24"/>
          <w:szCs w:val="24"/>
          <w:lang w:val="en-GB"/>
        </w:rPr>
        <w:t>In this context, implementation</w:t>
      </w:r>
      <w:r w:rsidR="00115194">
        <w:rPr>
          <w:rFonts w:cstheme="minorHAnsi"/>
          <w:sz w:val="24"/>
          <w:szCs w:val="24"/>
          <w:lang w:val="en-GB"/>
        </w:rPr>
        <w:t xml:space="preserve"> </w:t>
      </w:r>
      <w:r w:rsidR="00115194" w:rsidRPr="00115194">
        <w:rPr>
          <w:rFonts w:cstheme="minorHAnsi"/>
          <w:sz w:val="24"/>
          <w:szCs w:val="24"/>
          <w:lang w:val="en-GB"/>
        </w:rPr>
        <w:t>and documentation of sufficient assurance of the</w:t>
      </w:r>
      <w:r w:rsidR="00115194">
        <w:rPr>
          <w:rFonts w:cstheme="minorHAnsi"/>
          <w:sz w:val="24"/>
          <w:szCs w:val="24"/>
          <w:lang w:val="en-GB"/>
        </w:rPr>
        <w:t xml:space="preserve"> </w:t>
      </w:r>
      <w:r w:rsidR="00115194" w:rsidRPr="00115194">
        <w:rPr>
          <w:rFonts w:cstheme="minorHAnsi"/>
          <w:sz w:val="24"/>
          <w:szCs w:val="24"/>
          <w:lang w:val="en-GB"/>
        </w:rPr>
        <w:t xml:space="preserve">microbiological quality of the </w:t>
      </w:r>
      <w:r w:rsidR="00115194">
        <w:rPr>
          <w:rFonts w:cstheme="minorHAnsi"/>
          <w:sz w:val="24"/>
          <w:szCs w:val="24"/>
          <w:lang w:val="en-GB"/>
        </w:rPr>
        <w:t xml:space="preserve">final BTC </w:t>
      </w:r>
      <w:r w:rsidR="00115194" w:rsidRPr="00115194">
        <w:rPr>
          <w:rFonts w:cstheme="minorHAnsi"/>
          <w:sz w:val="24"/>
          <w:szCs w:val="24"/>
          <w:lang w:val="en-GB"/>
        </w:rPr>
        <w:t>product when released</w:t>
      </w:r>
      <w:r w:rsidR="00115194">
        <w:rPr>
          <w:rFonts w:cstheme="minorHAnsi"/>
          <w:sz w:val="24"/>
          <w:szCs w:val="24"/>
          <w:lang w:val="en-GB"/>
        </w:rPr>
        <w:t xml:space="preserve"> </w:t>
      </w:r>
      <w:r w:rsidR="00115194" w:rsidRPr="00115194">
        <w:rPr>
          <w:rFonts w:cstheme="minorHAnsi"/>
          <w:sz w:val="24"/>
          <w:szCs w:val="24"/>
          <w:lang w:val="en-GB"/>
        </w:rPr>
        <w:t>is essential. This will include in-process microbiological</w:t>
      </w:r>
      <w:r w:rsidR="00115194">
        <w:rPr>
          <w:rFonts w:cstheme="minorHAnsi"/>
          <w:sz w:val="24"/>
          <w:szCs w:val="24"/>
          <w:lang w:val="en-GB"/>
        </w:rPr>
        <w:t xml:space="preserve"> </w:t>
      </w:r>
      <w:r w:rsidR="00115194" w:rsidRPr="00115194">
        <w:rPr>
          <w:rFonts w:cstheme="minorHAnsi"/>
          <w:sz w:val="24"/>
          <w:szCs w:val="24"/>
          <w:lang w:val="en-GB"/>
        </w:rPr>
        <w:t>tests that have been established on the basis of</w:t>
      </w:r>
      <w:r w:rsidR="00115194">
        <w:rPr>
          <w:rFonts w:cstheme="minorHAnsi"/>
          <w:sz w:val="24"/>
          <w:szCs w:val="24"/>
          <w:lang w:val="en-GB"/>
        </w:rPr>
        <w:t xml:space="preserve"> </w:t>
      </w:r>
      <w:r w:rsidR="00115194" w:rsidRPr="00115194">
        <w:rPr>
          <w:rFonts w:cstheme="minorHAnsi"/>
          <w:sz w:val="24"/>
          <w:szCs w:val="24"/>
          <w:lang w:val="en-GB"/>
        </w:rPr>
        <w:t>risk analysis, usually including sterility testing of the</w:t>
      </w:r>
      <w:r w:rsidR="00115194">
        <w:rPr>
          <w:rFonts w:cstheme="minorHAnsi"/>
          <w:sz w:val="24"/>
          <w:szCs w:val="24"/>
          <w:lang w:val="en-GB"/>
        </w:rPr>
        <w:t xml:space="preserve"> starting material</w:t>
      </w:r>
      <w:r w:rsidR="00115194" w:rsidRPr="00115194">
        <w:rPr>
          <w:rFonts w:cstheme="minorHAnsi"/>
          <w:sz w:val="24"/>
          <w:szCs w:val="24"/>
          <w:lang w:val="en-GB"/>
        </w:rPr>
        <w:t xml:space="preserve"> and</w:t>
      </w:r>
      <w:r w:rsidR="00115194">
        <w:rPr>
          <w:rFonts w:cstheme="minorHAnsi"/>
          <w:sz w:val="24"/>
          <w:szCs w:val="24"/>
          <w:lang w:val="en-GB"/>
        </w:rPr>
        <w:t>/or</w:t>
      </w:r>
      <w:r w:rsidR="00115194" w:rsidRPr="00115194">
        <w:rPr>
          <w:rFonts w:cstheme="minorHAnsi"/>
          <w:sz w:val="24"/>
          <w:szCs w:val="24"/>
          <w:lang w:val="en-GB"/>
        </w:rPr>
        <w:t xml:space="preserve"> of samples from the intermediate</w:t>
      </w:r>
      <w:r w:rsidR="00115194">
        <w:rPr>
          <w:rFonts w:cstheme="minorHAnsi"/>
          <w:sz w:val="24"/>
          <w:szCs w:val="24"/>
          <w:lang w:val="en-GB"/>
        </w:rPr>
        <w:t xml:space="preserve"> </w:t>
      </w:r>
      <w:r w:rsidR="00115194" w:rsidRPr="00115194">
        <w:rPr>
          <w:rFonts w:cstheme="minorHAnsi"/>
          <w:sz w:val="24"/>
          <w:szCs w:val="24"/>
          <w:lang w:val="en-GB"/>
        </w:rPr>
        <w:t>product at critical steps</w:t>
      </w:r>
      <w:r w:rsidR="00115194">
        <w:rPr>
          <w:rFonts w:cstheme="minorHAnsi"/>
          <w:sz w:val="24"/>
          <w:szCs w:val="24"/>
          <w:lang w:val="en-GB"/>
        </w:rPr>
        <w:t>, if applicable</w:t>
      </w:r>
      <w:r w:rsidR="00115194" w:rsidRPr="00115194">
        <w:rPr>
          <w:rFonts w:cstheme="minorHAnsi"/>
          <w:sz w:val="24"/>
          <w:szCs w:val="24"/>
          <w:lang w:val="en-GB"/>
        </w:rPr>
        <w:t>.</w:t>
      </w:r>
      <w:r w:rsidR="00115194">
        <w:rPr>
          <w:rFonts w:cstheme="minorHAnsi"/>
          <w:sz w:val="24"/>
          <w:szCs w:val="24"/>
          <w:lang w:val="en-GB"/>
        </w:rPr>
        <w:t xml:space="preserve"> </w:t>
      </w:r>
      <w:r w:rsidR="003F4D09" w:rsidRPr="003F4D09">
        <w:rPr>
          <w:rFonts w:cstheme="minorHAnsi"/>
          <w:sz w:val="24"/>
          <w:szCs w:val="24"/>
          <w:lang w:val="en-GB"/>
        </w:rPr>
        <w:t>Final testing is still ongoing</w:t>
      </w:r>
      <w:r w:rsidR="003F4D09">
        <w:rPr>
          <w:rFonts w:cstheme="minorHAnsi"/>
          <w:sz w:val="24"/>
          <w:szCs w:val="24"/>
          <w:lang w:val="en-GB"/>
        </w:rPr>
        <w:t xml:space="preserve"> </w:t>
      </w:r>
      <w:r w:rsidR="003F4D09" w:rsidRPr="003F4D09">
        <w:rPr>
          <w:rFonts w:cstheme="minorHAnsi"/>
          <w:sz w:val="24"/>
          <w:szCs w:val="24"/>
          <w:lang w:val="en-GB"/>
        </w:rPr>
        <w:t xml:space="preserve">after the </w:t>
      </w:r>
      <w:r w:rsidR="003F4D09">
        <w:rPr>
          <w:rFonts w:cstheme="minorHAnsi"/>
          <w:sz w:val="24"/>
          <w:szCs w:val="24"/>
          <w:lang w:val="en-GB"/>
        </w:rPr>
        <w:t>BTC</w:t>
      </w:r>
      <w:r w:rsidR="003F4D09" w:rsidRPr="003F4D09">
        <w:rPr>
          <w:rFonts w:cstheme="minorHAnsi"/>
          <w:sz w:val="24"/>
          <w:szCs w:val="24"/>
          <w:lang w:val="en-GB"/>
        </w:rPr>
        <w:t xml:space="preserve"> is released and will be</w:t>
      </w:r>
      <w:r w:rsidR="003F4D09">
        <w:rPr>
          <w:rFonts w:cstheme="minorHAnsi"/>
          <w:sz w:val="24"/>
          <w:szCs w:val="24"/>
          <w:lang w:val="en-GB"/>
        </w:rPr>
        <w:t xml:space="preserve"> completed. </w:t>
      </w:r>
      <w:r w:rsidR="00657814" w:rsidRPr="00657814">
        <w:rPr>
          <w:rFonts w:cstheme="minorHAnsi"/>
          <w:sz w:val="24"/>
          <w:szCs w:val="24"/>
          <w:lang w:val="en-GB"/>
        </w:rPr>
        <w:t>Procedures for handling</w:t>
      </w:r>
      <w:r>
        <w:rPr>
          <w:rFonts w:cstheme="minorHAnsi"/>
          <w:sz w:val="24"/>
          <w:szCs w:val="24"/>
          <w:lang w:val="en-GB"/>
        </w:rPr>
        <w:t xml:space="preserve"> positive results after release</w:t>
      </w:r>
      <w:r w:rsidR="0070231B">
        <w:rPr>
          <w:rFonts w:cstheme="minorHAnsi"/>
          <w:sz w:val="24"/>
          <w:szCs w:val="24"/>
          <w:lang w:val="en-GB"/>
        </w:rPr>
        <w:t xml:space="preserve"> must be in place, including</w:t>
      </w:r>
      <w:r w:rsidR="00657814" w:rsidRPr="00657814">
        <w:rPr>
          <w:rFonts w:cstheme="minorHAnsi"/>
          <w:sz w:val="24"/>
          <w:szCs w:val="24"/>
          <w:lang w:val="en-GB"/>
        </w:rPr>
        <w:t xml:space="preserve"> potential recall, notifying the </w:t>
      </w:r>
      <w:r w:rsidR="00011AA6">
        <w:rPr>
          <w:rFonts w:cstheme="minorHAnsi"/>
          <w:sz w:val="24"/>
          <w:szCs w:val="24"/>
          <w:lang w:val="en-GB"/>
        </w:rPr>
        <w:t>clinician</w:t>
      </w:r>
      <w:r w:rsidR="00011AA6" w:rsidRPr="00657814">
        <w:rPr>
          <w:rFonts w:cstheme="minorHAnsi"/>
          <w:sz w:val="24"/>
          <w:szCs w:val="24"/>
          <w:lang w:val="en-GB"/>
        </w:rPr>
        <w:t xml:space="preserve"> </w:t>
      </w:r>
      <w:r w:rsidR="00657814" w:rsidRPr="00657814">
        <w:rPr>
          <w:rFonts w:cstheme="minorHAnsi"/>
          <w:sz w:val="24"/>
          <w:szCs w:val="24"/>
          <w:lang w:val="en-GB"/>
        </w:rPr>
        <w:t xml:space="preserve">caring </w:t>
      </w:r>
      <w:r w:rsidR="00011AA6">
        <w:rPr>
          <w:rFonts w:cstheme="minorHAnsi"/>
          <w:sz w:val="24"/>
          <w:szCs w:val="24"/>
          <w:lang w:val="en-GB"/>
        </w:rPr>
        <w:t xml:space="preserve">for the recipients </w:t>
      </w:r>
      <w:r w:rsidR="00657814" w:rsidRPr="00657814">
        <w:rPr>
          <w:rFonts w:cstheme="minorHAnsi"/>
          <w:sz w:val="24"/>
          <w:szCs w:val="24"/>
          <w:lang w:val="en-GB"/>
        </w:rPr>
        <w:t>and identification of the microbial species a</w:t>
      </w:r>
      <w:r w:rsidR="0020483A">
        <w:rPr>
          <w:rFonts w:cstheme="minorHAnsi"/>
          <w:sz w:val="24"/>
          <w:szCs w:val="24"/>
          <w:lang w:val="en-GB"/>
        </w:rPr>
        <w:t>nd resistogram (EDQM T&amp;C G</w:t>
      </w:r>
      <w:r w:rsidR="00BB3EF0">
        <w:rPr>
          <w:rFonts w:cstheme="minorHAnsi"/>
          <w:sz w:val="24"/>
          <w:szCs w:val="24"/>
          <w:lang w:val="en-GB"/>
        </w:rPr>
        <w:t>uide</w:t>
      </w:r>
      <w:r w:rsidR="00657814" w:rsidRPr="00657814">
        <w:rPr>
          <w:rFonts w:cstheme="minorHAnsi"/>
          <w:sz w:val="24"/>
          <w:szCs w:val="24"/>
          <w:lang w:val="en-GB"/>
        </w:rPr>
        <w:t xml:space="preserve"> 10.4.2.1).</w:t>
      </w:r>
    </w:p>
    <w:p w14:paraId="337D2793" w14:textId="25694833" w:rsidR="00657814" w:rsidRDefault="005A0ABE" w:rsidP="005A0ABE">
      <w:pPr>
        <w:jc w:val="both"/>
        <w:rPr>
          <w:rFonts w:cstheme="minorHAnsi"/>
          <w:sz w:val="24"/>
          <w:szCs w:val="24"/>
          <w:lang w:val="en-GB"/>
        </w:rPr>
      </w:pPr>
      <w:r>
        <w:rPr>
          <w:rFonts w:cstheme="minorHAnsi"/>
          <w:sz w:val="24"/>
          <w:szCs w:val="24"/>
          <w:lang w:val="en-GB"/>
        </w:rPr>
        <w:lastRenderedPageBreak/>
        <w:t>In general, i</w:t>
      </w:r>
      <w:r w:rsidRPr="005A0ABE">
        <w:rPr>
          <w:rFonts w:cstheme="minorHAnsi"/>
          <w:sz w:val="24"/>
          <w:szCs w:val="24"/>
          <w:lang w:val="en-GB"/>
        </w:rPr>
        <w:t>f any microbiological</w:t>
      </w:r>
      <w:r>
        <w:rPr>
          <w:rFonts w:cstheme="minorHAnsi"/>
          <w:sz w:val="24"/>
          <w:szCs w:val="24"/>
          <w:lang w:val="en-GB"/>
        </w:rPr>
        <w:t xml:space="preserve"> </w:t>
      </w:r>
      <w:r w:rsidRPr="005A0ABE">
        <w:rPr>
          <w:rFonts w:cstheme="minorHAnsi"/>
          <w:sz w:val="24"/>
          <w:szCs w:val="24"/>
          <w:lang w:val="en-GB"/>
        </w:rPr>
        <w:t>contamination is detected, it is necessary to identify</w:t>
      </w:r>
      <w:r>
        <w:rPr>
          <w:rFonts w:cstheme="minorHAnsi"/>
          <w:sz w:val="24"/>
          <w:szCs w:val="24"/>
          <w:lang w:val="en-GB"/>
        </w:rPr>
        <w:t xml:space="preserve"> </w:t>
      </w:r>
      <w:r w:rsidRPr="005A0ABE">
        <w:rPr>
          <w:rFonts w:cstheme="minorHAnsi"/>
          <w:sz w:val="24"/>
          <w:szCs w:val="24"/>
          <w:lang w:val="en-GB"/>
        </w:rPr>
        <w:t>the strain and to investigate its source. In this case</w:t>
      </w:r>
      <w:r>
        <w:rPr>
          <w:rFonts w:cstheme="minorHAnsi"/>
          <w:sz w:val="24"/>
          <w:szCs w:val="24"/>
          <w:lang w:val="en-GB"/>
        </w:rPr>
        <w:t xml:space="preserve"> </w:t>
      </w:r>
      <w:r w:rsidRPr="005A0ABE">
        <w:rPr>
          <w:rFonts w:cstheme="minorHAnsi"/>
          <w:sz w:val="24"/>
          <w:szCs w:val="24"/>
          <w:lang w:val="en-GB"/>
        </w:rPr>
        <w:t xml:space="preserve">the </w:t>
      </w:r>
      <w:r>
        <w:rPr>
          <w:rFonts w:cstheme="minorHAnsi"/>
          <w:sz w:val="24"/>
          <w:szCs w:val="24"/>
          <w:lang w:val="en-GB"/>
        </w:rPr>
        <w:t xml:space="preserve">final BTC </w:t>
      </w:r>
      <w:r w:rsidRPr="005A0ABE">
        <w:rPr>
          <w:rFonts w:cstheme="minorHAnsi"/>
          <w:sz w:val="24"/>
          <w:szCs w:val="24"/>
          <w:lang w:val="en-GB"/>
        </w:rPr>
        <w:t>product should not be used for clinical application</w:t>
      </w:r>
      <w:r>
        <w:rPr>
          <w:rFonts w:cstheme="minorHAnsi"/>
          <w:sz w:val="24"/>
          <w:szCs w:val="24"/>
          <w:lang w:val="en-GB"/>
        </w:rPr>
        <w:t xml:space="preserve"> </w:t>
      </w:r>
      <w:r w:rsidRPr="005A0ABE">
        <w:rPr>
          <w:rFonts w:cstheme="minorHAnsi"/>
          <w:sz w:val="24"/>
          <w:szCs w:val="24"/>
          <w:lang w:val="en-GB"/>
        </w:rPr>
        <w:t>unless a risk–benefit analysis indicates that it is</w:t>
      </w:r>
      <w:r>
        <w:rPr>
          <w:rFonts w:cstheme="minorHAnsi"/>
          <w:sz w:val="24"/>
          <w:szCs w:val="24"/>
          <w:lang w:val="en-GB"/>
        </w:rPr>
        <w:t xml:space="preserve"> </w:t>
      </w:r>
      <w:r w:rsidRPr="005A0ABE">
        <w:rPr>
          <w:rFonts w:cstheme="minorHAnsi"/>
          <w:sz w:val="24"/>
          <w:szCs w:val="24"/>
          <w:lang w:val="en-GB"/>
        </w:rPr>
        <w:t>the best option for the patient.</w:t>
      </w:r>
    </w:p>
    <w:p w14:paraId="5303A444" w14:textId="77777777" w:rsidR="00D142B2" w:rsidRDefault="00D142B2" w:rsidP="005A0ABE">
      <w:pPr>
        <w:jc w:val="both"/>
        <w:rPr>
          <w:rFonts w:cstheme="minorHAnsi"/>
          <w:sz w:val="24"/>
          <w:szCs w:val="24"/>
          <w:lang w:val="en-GB"/>
        </w:rPr>
      </w:pPr>
    </w:p>
    <w:p w14:paraId="38DDB5F5" w14:textId="44FEE140" w:rsidR="006D01CB" w:rsidRDefault="006D01CB" w:rsidP="009E2613">
      <w:pPr>
        <w:jc w:val="both"/>
        <w:rPr>
          <w:rFonts w:cstheme="minorHAnsi"/>
          <w:sz w:val="24"/>
          <w:szCs w:val="24"/>
          <w:lang w:val="en-GB"/>
        </w:rPr>
      </w:pPr>
      <w:r w:rsidRPr="00FF7DC9">
        <w:rPr>
          <w:rFonts w:cstheme="minorHAnsi"/>
          <w:b/>
          <w:sz w:val="24"/>
          <w:szCs w:val="24"/>
          <w:lang w:val="en-GB"/>
        </w:rPr>
        <w:t>Table x</w:t>
      </w:r>
      <w:r>
        <w:rPr>
          <w:rFonts w:cstheme="minorHAnsi"/>
          <w:sz w:val="24"/>
          <w:szCs w:val="24"/>
          <w:lang w:val="en-GB"/>
        </w:rPr>
        <w:t xml:space="preserve">. </w:t>
      </w:r>
      <w:r w:rsidRPr="00F1048F">
        <w:rPr>
          <w:rFonts w:cstheme="minorHAnsi"/>
          <w:sz w:val="24"/>
          <w:szCs w:val="24"/>
          <w:lang w:val="en-GB"/>
        </w:rPr>
        <w:t>Factors affecting the microbiological quality and thus should be considered when determining the microbiological testing pro</w:t>
      </w:r>
      <w:r>
        <w:rPr>
          <w:rFonts w:cstheme="minorHAnsi"/>
          <w:sz w:val="24"/>
          <w:szCs w:val="24"/>
          <w:lang w:val="en-GB"/>
        </w:rPr>
        <w:t xml:space="preserve">tocol (sample types, sampling times, analyses) </w:t>
      </w:r>
      <w:r w:rsidRPr="00F1048F">
        <w:rPr>
          <w:rFonts w:cstheme="minorHAnsi"/>
          <w:sz w:val="24"/>
          <w:szCs w:val="24"/>
          <w:lang w:val="en-GB"/>
        </w:rPr>
        <w:t>(</w:t>
      </w:r>
      <w:r w:rsidR="00670E0A">
        <w:rPr>
          <w:rFonts w:cstheme="minorHAnsi"/>
          <w:bCs/>
          <w:sz w:val="24"/>
          <w:szCs w:val="24"/>
          <w:lang w:val="en-GB"/>
        </w:rPr>
        <w:t>modified</w:t>
      </w:r>
      <w:r w:rsidRPr="00FF7DC9">
        <w:rPr>
          <w:rFonts w:cstheme="minorHAnsi"/>
          <w:bCs/>
          <w:sz w:val="24"/>
          <w:szCs w:val="24"/>
          <w:lang w:val="en-GB"/>
        </w:rPr>
        <w:t xml:space="preserve"> from</w:t>
      </w:r>
      <w:r w:rsidRPr="00F1048F">
        <w:rPr>
          <w:rFonts w:cstheme="minorHAnsi"/>
          <w:sz w:val="24"/>
          <w:szCs w:val="24"/>
          <w:lang w:val="en-GB"/>
        </w:rPr>
        <w:t xml:space="preserve"> table 7.2. Risks of contamination that should be considered when determining air-quality specific</w:t>
      </w:r>
      <w:r w:rsidR="00FF7DC9">
        <w:rPr>
          <w:rFonts w:cstheme="minorHAnsi"/>
          <w:sz w:val="24"/>
          <w:szCs w:val="24"/>
          <w:lang w:val="en-GB"/>
        </w:rPr>
        <w:t xml:space="preserve">ations of processing facilities, </w:t>
      </w:r>
      <w:r w:rsidRPr="00F1048F">
        <w:rPr>
          <w:rFonts w:cstheme="minorHAnsi"/>
          <w:sz w:val="24"/>
          <w:szCs w:val="24"/>
          <w:lang w:val="en-GB"/>
        </w:rPr>
        <w:t xml:space="preserve">EDQM </w:t>
      </w:r>
      <w:r w:rsidR="00FF7DC9">
        <w:rPr>
          <w:rFonts w:cstheme="minorHAnsi"/>
          <w:sz w:val="24"/>
          <w:szCs w:val="24"/>
          <w:lang w:val="en-GB"/>
        </w:rPr>
        <w:t>T&amp;C guide</w:t>
      </w:r>
      <w:r w:rsidRPr="00F1048F">
        <w:rPr>
          <w:rFonts w:cstheme="minorHAnsi"/>
          <w:sz w:val="24"/>
          <w:szCs w:val="24"/>
          <w:lang w:val="en-GB"/>
        </w:rPr>
        <w:t>)</w:t>
      </w:r>
    </w:p>
    <w:tbl>
      <w:tblPr>
        <w:tblStyle w:val="TableGrid"/>
        <w:tblW w:w="9634" w:type="dxa"/>
        <w:tblLook w:val="04A0" w:firstRow="1" w:lastRow="0" w:firstColumn="1" w:lastColumn="0" w:noHBand="0" w:noVBand="1"/>
      </w:tblPr>
      <w:tblGrid>
        <w:gridCol w:w="1501"/>
        <w:gridCol w:w="3467"/>
        <w:gridCol w:w="4666"/>
      </w:tblGrid>
      <w:tr w:rsidR="006D01CB" w:rsidRPr="00F7474B" w14:paraId="123AE845" w14:textId="77777777" w:rsidTr="006D01CB">
        <w:tc>
          <w:tcPr>
            <w:tcW w:w="1482" w:type="dxa"/>
          </w:tcPr>
          <w:p w14:paraId="2C9A531E" w14:textId="77777777" w:rsidR="006D01CB" w:rsidRPr="00F7474B" w:rsidRDefault="006D01CB" w:rsidP="006D01CB">
            <w:pPr>
              <w:rPr>
                <w:rFonts w:asciiTheme="majorHAnsi" w:hAnsiTheme="majorHAnsi" w:cstheme="majorHAnsi"/>
                <w:b/>
                <w:bCs/>
                <w:sz w:val="20"/>
                <w:szCs w:val="20"/>
                <w:lang w:val="en-GB"/>
              </w:rPr>
            </w:pPr>
            <w:r>
              <w:rPr>
                <w:rFonts w:asciiTheme="majorHAnsi" w:hAnsiTheme="majorHAnsi" w:cstheme="majorHAnsi"/>
                <w:b/>
                <w:bCs/>
                <w:sz w:val="20"/>
                <w:szCs w:val="20"/>
                <w:lang w:val="en-GB"/>
              </w:rPr>
              <w:t>Phase</w:t>
            </w:r>
          </w:p>
        </w:tc>
        <w:tc>
          <w:tcPr>
            <w:tcW w:w="3475" w:type="dxa"/>
          </w:tcPr>
          <w:p w14:paraId="37737AF1" w14:textId="77777777" w:rsidR="006D01CB" w:rsidRPr="00F7474B" w:rsidRDefault="006D01CB" w:rsidP="006D01CB">
            <w:pPr>
              <w:rPr>
                <w:rFonts w:asciiTheme="majorHAnsi" w:hAnsiTheme="majorHAnsi" w:cstheme="majorHAnsi"/>
                <w:b/>
                <w:bCs/>
                <w:sz w:val="20"/>
                <w:szCs w:val="20"/>
                <w:lang w:val="en-GB"/>
              </w:rPr>
            </w:pPr>
            <w:r w:rsidRPr="00F7474B">
              <w:rPr>
                <w:rFonts w:asciiTheme="majorHAnsi" w:hAnsiTheme="majorHAnsi" w:cstheme="majorHAnsi"/>
                <w:b/>
                <w:bCs/>
                <w:sz w:val="20"/>
                <w:szCs w:val="20"/>
                <w:lang w:val="en-GB"/>
              </w:rPr>
              <w:t>Risk</w:t>
            </w:r>
            <w:r>
              <w:rPr>
                <w:rFonts w:asciiTheme="majorHAnsi" w:hAnsiTheme="majorHAnsi" w:cstheme="majorHAnsi"/>
                <w:b/>
                <w:bCs/>
                <w:sz w:val="20"/>
                <w:szCs w:val="20"/>
                <w:lang w:val="en-GB"/>
              </w:rPr>
              <w:t xml:space="preserve"> factors</w:t>
            </w:r>
          </w:p>
        </w:tc>
        <w:tc>
          <w:tcPr>
            <w:tcW w:w="4677" w:type="dxa"/>
          </w:tcPr>
          <w:p w14:paraId="64404F9B" w14:textId="77777777" w:rsidR="006D01CB" w:rsidRPr="00F7474B" w:rsidRDefault="006D01CB" w:rsidP="006D01CB">
            <w:pPr>
              <w:rPr>
                <w:rFonts w:asciiTheme="majorHAnsi" w:hAnsiTheme="majorHAnsi" w:cstheme="majorHAnsi"/>
                <w:b/>
                <w:bCs/>
                <w:sz w:val="20"/>
                <w:szCs w:val="20"/>
                <w:lang w:val="en-GB"/>
              </w:rPr>
            </w:pPr>
            <w:r w:rsidRPr="00F7474B">
              <w:rPr>
                <w:rFonts w:asciiTheme="majorHAnsi" w:hAnsiTheme="majorHAnsi" w:cstheme="majorHAnsi"/>
                <w:b/>
                <w:bCs/>
                <w:sz w:val="20"/>
                <w:szCs w:val="20"/>
                <w:lang w:val="en-GB"/>
              </w:rPr>
              <w:t>Examples/information</w:t>
            </w:r>
          </w:p>
        </w:tc>
      </w:tr>
      <w:tr w:rsidR="006D01CB" w:rsidRPr="00F7474B" w14:paraId="58B029B8" w14:textId="77777777" w:rsidTr="006D01CB">
        <w:tc>
          <w:tcPr>
            <w:tcW w:w="1482" w:type="dxa"/>
            <w:vMerge w:val="restart"/>
          </w:tcPr>
          <w:p w14:paraId="78ED5550" w14:textId="77777777" w:rsidR="006D01CB" w:rsidRPr="00F7474B" w:rsidRDefault="006D01CB" w:rsidP="006D01CB">
            <w:pPr>
              <w:rPr>
                <w:rFonts w:asciiTheme="majorHAnsi" w:hAnsiTheme="majorHAnsi" w:cstheme="majorHAnsi"/>
                <w:sz w:val="20"/>
                <w:szCs w:val="20"/>
                <w:lang w:val="en-GB"/>
              </w:rPr>
            </w:pPr>
            <w:r>
              <w:rPr>
                <w:rFonts w:asciiTheme="majorHAnsi" w:hAnsiTheme="majorHAnsi" w:cstheme="majorHAnsi"/>
                <w:sz w:val="20"/>
                <w:szCs w:val="20"/>
                <w:lang w:val="en-GB"/>
              </w:rPr>
              <w:t>Procurement</w:t>
            </w:r>
          </w:p>
        </w:tc>
        <w:tc>
          <w:tcPr>
            <w:tcW w:w="3475" w:type="dxa"/>
          </w:tcPr>
          <w:p w14:paraId="43EECB62" w14:textId="77777777" w:rsidR="006D01CB" w:rsidRPr="00F7474B" w:rsidRDefault="006D01CB" w:rsidP="006D01CB">
            <w:pPr>
              <w:rPr>
                <w:rFonts w:asciiTheme="majorHAnsi" w:hAnsiTheme="majorHAnsi" w:cstheme="majorHAnsi"/>
                <w:sz w:val="20"/>
                <w:szCs w:val="20"/>
                <w:lang w:val="en-GB"/>
              </w:rPr>
            </w:pPr>
            <w:r w:rsidRPr="00F7474B">
              <w:rPr>
                <w:rFonts w:asciiTheme="majorHAnsi" w:hAnsiTheme="majorHAnsi" w:cstheme="majorHAnsi"/>
                <w:sz w:val="20"/>
                <w:szCs w:val="20"/>
                <w:lang w:val="en-GB"/>
              </w:rPr>
              <w:t>Tissue type</w:t>
            </w:r>
          </w:p>
        </w:tc>
        <w:tc>
          <w:tcPr>
            <w:tcW w:w="4677" w:type="dxa"/>
          </w:tcPr>
          <w:p w14:paraId="3AFD490A" w14:textId="77777777" w:rsidR="006D01CB" w:rsidRDefault="006D01CB" w:rsidP="006D01CB">
            <w:pPr>
              <w:rPr>
                <w:rFonts w:asciiTheme="majorHAnsi" w:hAnsiTheme="majorHAnsi" w:cstheme="majorHAnsi"/>
                <w:sz w:val="20"/>
                <w:szCs w:val="20"/>
                <w:lang w:val="en-GB"/>
              </w:rPr>
            </w:pPr>
            <w:r>
              <w:rPr>
                <w:rFonts w:asciiTheme="majorHAnsi" w:hAnsiTheme="majorHAnsi" w:cstheme="majorHAnsi"/>
                <w:sz w:val="20"/>
                <w:szCs w:val="20"/>
                <w:lang w:val="en-GB"/>
              </w:rPr>
              <w:t>S</w:t>
            </w:r>
            <w:r w:rsidRPr="00F7474B">
              <w:rPr>
                <w:rFonts w:asciiTheme="majorHAnsi" w:hAnsiTheme="majorHAnsi" w:cstheme="majorHAnsi"/>
                <w:sz w:val="20"/>
                <w:szCs w:val="20"/>
                <w:lang w:val="en-GB"/>
              </w:rPr>
              <w:t>kin vs femoral head</w:t>
            </w:r>
            <w:r>
              <w:rPr>
                <w:rFonts w:asciiTheme="majorHAnsi" w:hAnsiTheme="majorHAnsi" w:cstheme="majorHAnsi"/>
                <w:sz w:val="20"/>
                <w:szCs w:val="20"/>
                <w:lang w:val="en-GB"/>
              </w:rPr>
              <w:t xml:space="preserve"> </w:t>
            </w:r>
          </w:p>
          <w:p w14:paraId="21E7E7B1" w14:textId="77777777" w:rsidR="006D01CB" w:rsidRPr="00F7474B" w:rsidRDefault="006D01CB" w:rsidP="006D01CB">
            <w:pPr>
              <w:rPr>
                <w:rFonts w:asciiTheme="majorHAnsi" w:hAnsiTheme="majorHAnsi" w:cstheme="majorHAnsi"/>
                <w:sz w:val="20"/>
                <w:szCs w:val="20"/>
                <w:lang w:val="en-GB"/>
              </w:rPr>
            </w:pPr>
            <w:r>
              <w:rPr>
                <w:rFonts w:asciiTheme="majorHAnsi" w:hAnsiTheme="majorHAnsi" w:cstheme="majorHAnsi"/>
                <w:sz w:val="20"/>
                <w:szCs w:val="20"/>
                <w:lang w:val="en-GB"/>
              </w:rPr>
              <w:t xml:space="preserve">Tissue type specific micro-organisms must be taken account when validating the microbiological analyses  </w:t>
            </w:r>
          </w:p>
        </w:tc>
      </w:tr>
      <w:tr w:rsidR="006D01CB" w:rsidRPr="00F7474B" w14:paraId="40C8CC63" w14:textId="77777777" w:rsidTr="006D01CB">
        <w:tc>
          <w:tcPr>
            <w:tcW w:w="1482" w:type="dxa"/>
            <w:vMerge/>
          </w:tcPr>
          <w:p w14:paraId="793D6F6D" w14:textId="77777777" w:rsidR="006D01CB" w:rsidRPr="00F7474B" w:rsidRDefault="006D01CB" w:rsidP="006D01CB">
            <w:pPr>
              <w:rPr>
                <w:rFonts w:asciiTheme="majorHAnsi" w:hAnsiTheme="majorHAnsi" w:cstheme="majorHAnsi"/>
                <w:sz w:val="20"/>
                <w:szCs w:val="20"/>
                <w:lang w:val="en-GB"/>
              </w:rPr>
            </w:pPr>
          </w:p>
        </w:tc>
        <w:tc>
          <w:tcPr>
            <w:tcW w:w="3475" w:type="dxa"/>
          </w:tcPr>
          <w:p w14:paraId="44E8A4E7" w14:textId="77777777" w:rsidR="006D01CB" w:rsidRPr="00F7474B" w:rsidRDefault="006D01CB" w:rsidP="006D01CB">
            <w:pPr>
              <w:rPr>
                <w:rFonts w:asciiTheme="majorHAnsi" w:hAnsiTheme="majorHAnsi" w:cstheme="majorHAnsi"/>
                <w:sz w:val="20"/>
                <w:szCs w:val="20"/>
                <w:lang w:val="en-GB"/>
              </w:rPr>
            </w:pPr>
            <w:r w:rsidRPr="00F7474B">
              <w:rPr>
                <w:rFonts w:asciiTheme="majorHAnsi" w:hAnsiTheme="majorHAnsi" w:cstheme="majorHAnsi"/>
                <w:sz w:val="20"/>
                <w:szCs w:val="20"/>
                <w:lang w:val="en-GB"/>
              </w:rPr>
              <w:t>Procurement environment</w:t>
            </w:r>
          </w:p>
        </w:tc>
        <w:tc>
          <w:tcPr>
            <w:tcW w:w="4677" w:type="dxa"/>
          </w:tcPr>
          <w:p w14:paraId="2C0B18F2" w14:textId="2A3C44FD" w:rsidR="006D01CB" w:rsidRPr="00F7474B" w:rsidRDefault="007A0FF6" w:rsidP="006D01CB">
            <w:pPr>
              <w:rPr>
                <w:rFonts w:asciiTheme="majorHAnsi" w:hAnsiTheme="majorHAnsi" w:cstheme="majorHAnsi"/>
                <w:sz w:val="20"/>
                <w:szCs w:val="20"/>
                <w:lang w:val="en-GB"/>
              </w:rPr>
            </w:pPr>
            <w:r>
              <w:rPr>
                <w:rFonts w:asciiTheme="majorHAnsi" w:hAnsiTheme="majorHAnsi" w:cstheme="majorHAnsi"/>
                <w:sz w:val="20"/>
                <w:szCs w:val="20"/>
                <w:lang w:val="en-GB"/>
              </w:rPr>
              <w:t>Funeral home,</w:t>
            </w:r>
            <w:r w:rsidR="006D01CB" w:rsidRPr="00F7474B">
              <w:rPr>
                <w:rFonts w:asciiTheme="majorHAnsi" w:hAnsiTheme="majorHAnsi" w:cstheme="majorHAnsi"/>
                <w:sz w:val="20"/>
                <w:szCs w:val="20"/>
                <w:lang w:val="en-GB"/>
              </w:rPr>
              <w:t xml:space="preserve"> operating theatre </w:t>
            </w:r>
            <w:r w:rsidR="006D01CB">
              <w:rPr>
                <w:rFonts w:asciiTheme="majorHAnsi" w:hAnsiTheme="majorHAnsi" w:cstheme="majorHAnsi"/>
                <w:sz w:val="20"/>
                <w:szCs w:val="20"/>
                <w:lang w:val="en-GB"/>
              </w:rPr>
              <w:t>etc</w:t>
            </w:r>
            <w:r>
              <w:rPr>
                <w:rFonts w:asciiTheme="majorHAnsi" w:hAnsiTheme="majorHAnsi" w:cstheme="majorHAnsi"/>
                <w:sz w:val="20"/>
                <w:szCs w:val="20"/>
                <w:lang w:val="en-GB"/>
              </w:rPr>
              <w:t>.</w:t>
            </w:r>
          </w:p>
        </w:tc>
      </w:tr>
      <w:tr w:rsidR="006D01CB" w:rsidRPr="00F7474B" w14:paraId="46624F24" w14:textId="77777777" w:rsidTr="006D01CB">
        <w:tc>
          <w:tcPr>
            <w:tcW w:w="1482" w:type="dxa"/>
            <w:vMerge w:val="restart"/>
          </w:tcPr>
          <w:p w14:paraId="7255CEF3" w14:textId="77777777" w:rsidR="006D01CB" w:rsidRPr="00F7474B" w:rsidRDefault="006D01CB" w:rsidP="006D01CB">
            <w:pPr>
              <w:autoSpaceDE w:val="0"/>
              <w:autoSpaceDN w:val="0"/>
              <w:adjustRightInd w:val="0"/>
              <w:rPr>
                <w:rFonts w:asciiTheme="majorHAnsi" w:eastAsia="MyriadPro-Regular" w:hAnsiTheme="majorHAnsi" w:cstheme="majorHAnsi"/>
                <w:sz w:val="20"/>
                <w:szCs w:val="20"/>
              </w:rPr>
            </w:pPr>
            <w:r>
              <w:rPr>
                <w:rFonts w:asciiTheme="majorHAnsi" w:eastAsia="MyriadPro-Regular" w:hAnsiTheme="majorHAnsi" w:cstheme="majorHAnsi"/>
                <w:sz w:val="20"/>
                <w:szCs w:val="20"/>
              </w:rPr>
              <w:t>Processing</w:t>
            </w:r>
          </w:p>
        </w:tc>
        <w:tc>
          <w:tcPr>
            <w:tcW w:w="3475" w:type="dxa"/>
          </w:tcPr>
          <w:p w14:paraId="60F12A13" w14:textId="34CD18EB" w:rsidR="006D01CB" w:rsidRPr="00F7474B" w:rsidRDefault="006D01CB" w:rsidP="006D01CB">
            <w:pPr>
              <w:autoSpaceDE w:val="0"/>
              <w:autoSpaceDN w:val="0"/>
              <w:adjustRightInd w:val="0"/>
              <w:rPr>
                <w:rFonts w:asciiTheme="majorHAnsi" w:hAnsiTheme="majorHAnsi" w:cstheme="majorHAnsi"/>
                <w:sz w:val="20"/>
                <w:szCs w:val="20"/>
                <w:lang w:val="en-GB"/>
              </w:rPr>
            </w:pPr>
            <w:r w:rsidRPr="00F7474B">
              <w:rPr>
                <w:rFonts w:asciiTheme="majorHAnsi" w:eastAsia="MyriadPro-Regular" w:hAnsiTheme="majorHAnsi" w:cstheme="majorHAnsi"/>
                <w:sz w:val="20"/>
                <w:szCs w:val="20"/>
              </w:rPr>
              <w:t>Tissue or cell contamination during open</w:t>
            </w:r>
            <w:r>
              <w:rPr>
                <w:rFonts w:asciiTheme="majorHAnsi" w:eastAsia="MyriadPro-Regular" w:hAnsiTheme="majorHAnsi" w:cstheme="majorHAnsi"/>
                <w:sz w:val="20"/>
                <w:szCs w:val="20"/>
              </w:rPr>
              <w:t xml:space="preserve"> </w:t>
            </w:r>
            <w:r w:rsidRPr="00D37765">
              <w:rPr>
                <w:rFonts w:asciiTheme="majorHAnsi" w:eastAsia="MyriadPro-Regular" w:hAnsiTheme="majorHAnsi" w:cstheme="majorHAnsi"/>
                <w:i/>
                <w:iCs/>
                <w:sz w:val="20"/>
                <w:szCs w:val="20"/>
              </w:rPr>
              <w:t xml:space="preserve">versus </w:t>
            </w:r>
            <w:r w:rsidR="007A0FF6">
              <w:rPr>
                <w:rFonts w:asciiTheme="majorHAnsi" w:eastAsia="MyriadPro-Regular" w:hAnsiTheme="majorHAnsi" w:cstheme="majorHAnsi"/>
                <w:sz w:val="20"/>
                <w:szCs w:val="20"/>
              </w:rPr>
              <w:t>closed processing</w:t>
            </w:r>
          </w:p>
        </w:tc>
        <w:tc>
          <w:tcPr>
            <w:tcW w:w="4677" w:type="dxa"/>
          </w:tcPr>
          <w:p w14:paraId="1EE80707" w14:textId="5E7FB21B" w:rsidR="006D01CB" w:rsidRPr="00F7474B" w:rsidRDefault="007A0FF6" w:rsidP="007A0FF6">
            <w:pPr>
              <w:autoSpaceDE w:val="0"/>
              <w:autoSpaceDN w:val="0"/>
              <w:adjustRightInd w:val="0"/>
              <w:rPr>
                <w:rFonts w:asciiTheme="majorHAnsi" w:hAnsiTheme="majorHAnsi" w:cstheme="majorHAnsi"/>
                <w:sz w:val="20"/>
                <w:szCs w:val="20"/>
              </w:rPr>
            </w:pPr>
            <w:r>
              <w:rPr>
                <w:rFonts w:asciiTheme="majorHAnsi" w:eastAsia="MyriadPro-Regular" w:hAnsiTheme="majorHAnsi" w:cstheme="majorHAnsi"/>
                <w:sz w:val="20"/>
                <w:szCs w:val="20"/>
                <w:lang w:val="en-GB" w:eastAsia="en-US"/>
              </w:rPr>
              <w:t>C</w:t>
            </w:r>
            <w:r>
              <w:rPr>
                <w:rFonts w:asciiTheme="majorHAnsi" w:eastAsia="MyriadPro-Regular" w:hAnsiTheme="majorHAnsi" w:cstheme="majorHAnsi"/>
                <w:sz w:val="20"/>
                <w:szCs w:val="20"/>
                <w:lang w:eastAsia="en-US"/>
              </w:rPr>
              <w:t>losed</w:t>
            </w:r>
            <w:r w:rsidRPr="00F7474B">
              <w:rPr>
                <w:rFonts w:asciiTheme="majorHAnsi" w:eastAsia="MyriadPro-Regular" w:hAnsiTheme="majorHAnsi" w:cstheme="majorHAnsi"/>
                <w:sz w:val="20"/>
                <w:szCs w:val="20"/>
                <w:lang w:eastAsia="en-US"/>
              </w:rPr>
              <w:t xml:space="preserve"> </w:t>
            </w:r>
            <w:r>
              <w:rPr>
                <w:rFonts w:asciiTheme="majorHAnsi" w:eastAsia="MyriadPro-Regular" w:hAnsiTheme="majorHAnsi" w:cstheme="majorHAnsi"/>
                <w:sz w:val="20"/>
                <w:szCs w:val="20"/>
                <w:lang w:eastAsia="en-US"/>
              </w:rPr>
              <w:t>p</w:t>
            </w:r>
            <w:r w:rsidR="006D01CB" w:rsidRPr="00F7474B">
              <w:rPr>
                <w:rFonts w:asciiTheme="majorHAnsi" w:eastAsia="MyriadPro-Regular" w:hAnsiTheme="majorHAnsi" w:cstheme="majorHAnsi"/>
                <w:sz w:val="20"/>
                <w:szCs w:val="20"/>
                <w:lang w:eastAsia="en-US"/>
              </w:rPr>
              <w:t xml:space="preserve">rocesses are less prone to </w:t>
            </w:r>
            <w:r w:rsidR="008F6B59">
              <w:rPr>
                <w:rFonts w:asciiTheme="majorHAnsi" w:eastAsia="MyriadPro-Regular" w:hAnsiTheme="majorHAnsi" w:cstheme="majorHAnsi"/>
                <w:sz w:val="20"/>
                <w:szCs w:val="20"/>
                <w:lang w:eastAsia="en-US"/>
              </w:rPr>
              <w:t>contamination during processing</w:t>
            </w:r>
            <w:r w:rsidR="006D01CB">
              <w:rPr>
                <w:rFonts w:asciiTheme="majorHAnsi" w:eastAsia="MyriadPro-Regular" w:hAnsiTheme="majorHAnsi" w:cstheme="majorHAnsi"/>
                <w:sz w:val="20"/>
                <w:szCs w:val="20"/>
                <w:lang w:eastAsia="en-US"/>
              </w:rPr>
              <w:t xml:space="preserve"> </w:t>
            </w:r>
            <w:r w:rsidR="006D01CB" w:rsidRPr="00F7474B">
              <w:rPr>
                <w:rFonts w:asciiTheme="majorHAnsi" w:eastAsia="MyriadPro-Regular" w:hAnsiTheme="majorHAnsi" w:cstheme="majorHAnsi"/>
                <w:sz w:val="20"/>
                <w:szCs w:val="20"/>
                <w:lang w:eastAsia="en-US"/>
              </w:rPr>
              <w:t xml:space="preserve">than processes where </w:t>
            </w:r>
            <w:r>
              <w:rPr>
                <w:rFonts w:asciiTheme="majorHAnsi" w:eastAsia="MyriadPro-Regular" w:hAnsiTheme="majorHAnsi" w:cstheme="majorHAnsi"/>
                <w:sz w:val="20"/>
                <w:szCs w:val="20"/>
                <w:lang w:eastAsia="en-US"/>
              </w:rPr>
              <w:t>BTC</w:t>
            </w:r>
            <w:r w:rsidR="006D01CB" w:rsidRPr="00F7474B">
              <w:rPr>
                <w:rFonts w:asciiTheme="majorHAnsi" w:eastAsia="MyriadPro-Regular" w:hAnsiTheme="majorHAnsi" w:cstheme="majorHAnsi"/>
                <w:sz w:val="20"/>
                <w:szCs w:val="20"/>
                <w:lang w:eastAsia="en-US"/>
              </w:rPr>
              <w:t xml:space="preserve"> </w:t>
            </w:r>
            <w:r w:rsidR="00F36E71">
              <w:rPr>
                <w:rFonts w:asciiTheme="majorHAnsi" w:eastAsia="MyriadPro-Regular" w:hAnsiTheme="majorHAnsi" w:cstheme="majorHAnsi"/>
                <w:sz w:val="20"/>
                <w:szCs w:val="20"/>
                <w:lang w:eastAsia="en-US"/>
              </w:rPr>
              <w:t>are exposed to the environment</w:t>
            </w:r>
          </w:p>
        </w:tc>
      </w:tr>
      <w:tr w:rsidR="006D01CB" w:rsidRPr="00707624" w14:paraId="6A70D626" w14:textId="77777777" w:rsidTr="006D01CB">
        <w:tc>
          <w:tcPr>
            <w:tcW w:w="1482" w:type="dxa"/>
            <w:vMerge/>
          </w:tcPr>
          <w:p w14:paraId="4482E960" w14:textId="77777777" w:rsidR="006D01CB" w:rsidRPr="00707624" w:rsidRDefault="006D01CB" w:rsidP="006D01CB">
            <w:pPr>
              <w:autoSpaceDE w:val="0"/>
              <w:autoSpaceDN w:val="0"/>
              <w:adjustRightInd w:val="0"/>
              <w:rPr>
                <w:rFonts w:asciiTheme="majorHAnsi" w:eastAsia="MyriadPro-Regular" w:hAnsiTheme="majorHAnsi" w:cstheme="majorHAnsi"/>
                <w:sz w:val="20"/>
                <w:szCs w:val="20"/>
              </w:rPr>
            </w:pPr>
          </w:p>
        </w:tc>
        <w:tc>
          <w:tcPr>
            <w:tcW w:w="3475" w:type="dxa"/>
          </w:tcPr>
          <w:p w14:paraId="6D3FE4C9" w14:textId="4DA67265" w:rsidR="006D01CB" w:rsidRPr="00707624" w:rsidRDefault="006D01CB" w:rsidP="00F36E71">
            <w:pPr>
              <w:autoSpaceDE w:val="0"/>
              <w:autoSpaceDN w:val="0"/>
              <w:adjustRightInd w:val="0"/>
              <w:rPr>
                <w:rFonts w:asciiTheme="majorHAnsi" w:hAnsiTheme="majorHAnsi" w:cstheme="majorHAnsi"/>
                <w:sz w:val="20"/>
                <w:szCs w:val="20"/>
                <w:lang w:val="en-GB"/>
              </w:rPr>
            </w:pPr>
            <w:r w:rsidRPr="00707624">
              <w:rPr>
                <w:rFonts w:asciiTheme="majorHAnsi" w:eastAsia="MyriadPro-Regular" w:hAnsiTheme="majorHAnsi" w:cstheme="majorHAnsi"/>
                <w:sz w:val="20"/>
                <w:szCs w:val="20"/>
              </w:rPr>
              <w:t xml:space="preserve">Effectiveness of the </w:t>
            </w:r>
            <w:r w:rsidR="00F36E71">
              <w:rPr>
                <w:rFonts w:asciiTheme="majorHAnsi" w:eastAsia="MyriadPro-Regular" w:hAnsiTheme="majorHAnsi" w:cstheme="majorHAnsi"/>
                <w:sz w:val="20"/>
                <w:szCs w:val="20"/>
              </w:rPr>
              <w:t>pathogen reduction</w:t>
            </w:r>
            <w:r w:rsidRPr="00707624">
              <w:rPr>
                <w:rFonts w:asciiTheme="majorHAnsi" w:eastAsia="MyriadPro-Regular" w:hAnsiTheme="majorHAnsi" w:cstheme="majorHAnsi"/>
                <w:sz w:val="20"/>
                <w:szCs w:val="20"/>
              </w:rPr>
              <w:t xml:space="preserve"> method to</w:t>
            </w:r>
            <w:r>
              <w:rPr>
                <w:rFonts w:asciiTheme="majorHAnsi" w:eastAsia="MyriadPro-Regular" w:hAnsiTheme="majorHAnsi" w:cstheme="majorHAnsi"/>
                <w:sz w:val="20"/>
                <w:szCs w:val="20"/>
              </w:rPr>
              <w:t xml:space="preserve"> </w:t>
            </w:r>
            <w:r w:rsidRPr="00873F4B">
              <w:rPr>
                <w:rFonts w:asciiTheme="majorHAnsi" w:eastAsia="MyriadPro-Regular" w:hAnsiTheme="majorHAnsi" w:cstheme="majorHAnsi"/>
                <w:sz w:val="20"/>
                <w:szCs w:val="20"/>
              </w:rPr>
              <w:t>remove contaminants</w:t>
            </w:r>
          </w:p>
        </w:tc>
        <w:tc>
          <w:tcPr>
            <w:tcW w:w="4677" w:type="dxa"/>
          </w:tcPr>
          <w:p w14:paraId="4738D5DA" w14:textId="10243289" w:rsidR="006D01CB" w:rsidRPr="00707624" w:rsidRDefault="006D01CB" w:rsidP="00F36E71">
            <w:pPr>
              <w:autoSpaceDE w:val="0"/>
              <w:autoSpaceDN w:val="0"/>
              <w:adjustRightInd w:val="0"/>
              <w:rPr>
                <w:rFonts w:asciiTheme="majorHAnsi" w:hAnsiTheme="majorHAnsi" w:cstheme="majorHAnsi"/>
                <w:sz w:val="20"/>
                <w:szCs w:val="20"/>
              </w:rPr>
            </w:pPr>
            <w:r w:rsidRPr="00707624">
              <w:rPr>
                <w:rFonts w:asciiTheme="majorHAnsi" w:eastAsia="MyriadPro-Regular" w:hAnsiTheme="majorHAnsi" w:cstheme="majorHAnsi"/>
                <w:sz w:val="20"/>
                <w:szCs w:val="20"/>
                <w:lang w:eastAsia="en-US"/>
              </w:rPr>
              <w:t xml:space="preserve">Some </w:t>
            </w:r>
            <w:r w:rsidR="00F36E71">
              <w:rPr>
                <w:rFonts w:asciiTheme="majorHAnsi" w:eastAsia="MyriadPro-Regular" w:hAnsiTheme="majorHAnsi" w:cstheme="majorHAnsi"/>
                <w:sz w:val="20"/>
                <w:szCs w:val="20"/>
                <w:lang w:eastAsia="en-US"/>
              </w:rPr>
              <w:t>BTC</w:t>
            </w:r>
            <w:r w:rsidRPr="00707624">
              <w:rPr>
                <w:rFonts w:asciiTheme="majorHAnsi" w:eastAsia="MyriadPro-Regular" w:hAnsiTheme="majorHAnsi" w:cstheme="majorHAnsi"/>
                <w:sz w:val="20"/>
                <w:szCs w:val="20"/>
                <w:lang w:eastAsia="en-US"/>
              </w:rPr>
              <w:t xml:space="preserve">, even though not terminally sterilised, can be treated with </w:t>
            </w:r>
            <w:r w:rsidR="00F36E71">
              <w:rPr>
                <w:rFonts w:asciiTheme="majorHAnsi" w:eastAsia="MyriadPro-Regular" w:hAnsiTheme="majorHAnsi" w:cstheme="majorHAnsi"/>
                <w:sz w:val="20"/>
                <w:szCs w:val="20"/>
                <w:lang w:eastAsia="en-US"/>
              </w:rPr>
              <w:t>pathogen reduction which</w:t>
            </w:r>
            <w:r w:rsidRPr="00707624">
              <w:rPr>
                <w:rFonts w:asciiTheme="majorHAnsi" w:eastAsia="MyriadPro-Regular" w:hAnsiTheme="majorHAnsi" w:cstheme="majorHAnsi"/>
                <w:sz w:val="20"/>
                <w:szCs w:val="20"/>
                <w:lang w:eastAsia="en-US"/>
              </w:rPr>
              <w:t xml:space="preserve"> reduces the risks of transferring any </w:t>
            </w:r>
            <w:r w:rsidR="00F36E71">
              <w:rPr>
                <w:rFonts w:asciiTheme="majorHAnsi" w:eastAsia="MyriadPro-Regular" w:hAnsiTheme="majorHAnsi" w:cstheme="majorHAnsi"/>
                <w:sz w:val="20"/>
                <w:szCs w:val="20"/>
                <w:lang w:eastAsia="en-US"/>
              </w:rPr>
              <w:t>microbiological contamination</w:t>
            </w:r>
          </w:p>
        </w:tc>
      </w:tr>
      <w:tr w:rsidR="006D01CB" w:rsidRPr="00707624" w14:paraId="7F3E1F2B" w14:textId="77777777" w:rsidTr="006D01CB">
        <w:tc>
          <w:tcPr>
            <w:tcW w:w="1482" w:type="dxa"/>
            <w:vMerge w:val="restart"/>
          </w:tcPr>
          <w:p w14:paraId="05D4545D" w14:textId="77777777" w:rsidR="006D01CB" w:rsidRPr="00707624" w:rsidRDefault="006D01CB" w:rsidP="006D01CB">
            <w:pPr>
              <w:autoSpaceDE w:val="0"/>
              <w:autoSpaceDN w:val="0"/>
              <w:adjustRightInd w:val="0"/>
              <w:rPr>
                <w:rFonts w:asciiTheme="majorHAnsi" w:eastAsia="MyriadPro-Regular" w:hAnsiTheme="majorHAnsi" w:cstheme="majorHAnsi"/>
                <w:sz w:val="20"/>
                <w:szCs w:val="20"/>
              </w:rPr>
            </w:pPr>
            <w:r>
              <w:rPr>
                <w:rFonts w:asciiTheme="majorHAnsi" w:eastAsia="MyriadPro-Regular" w:hAnsiTheme="majorHAnsi" w:cstheme="majorHAnsi"/>
                <w:sz w:val="20"/>
                <w:szCs w:val="20"/>
              </w:rPr>
              <w:t>Sampling</w:t>
            </w:r>
          </w:p>
        </w:tc>
        <w:tc>
          <w:tcPr>
            <w:tcW w:w="3475" w:type="dxa"/>
          </w:tcPr>
          <w:p w14:paraId="3DB51E1F" w14:textId="77777777" w:rsidR="006D01CB" w:rsidRPr="00707624" w:rsidRDefault="006D01CB" w:rsidP="006D01CB">
            <w:pPr>
              <w:autoSpaceDE w:val="0"/>
              <w:autoSpaceDN w:val="0"/>
              <w:adjustRightInd w:val="0"/>
              <w:rPr>
                <w:rFonts w:asciiTheme="majorHAnsi" w:eastAsia="MyriadPro-Regular" w:hAnsiTheme="majorHAnsi" w:cstheme="majorHAnsi"/>
                <w:sz w:val="20"/>
                <w:szCs w:val="20"/>
              </w:rPr>
            </w:pPr>
            <w:r w:rsidRPr="00707624">
              <w:rPr>
                <w:rFonts w:asciiTheme="majorHAnsi" w:eastAsia="MyriadPro-Regular" w:hAnsiTheme="majorHAnsi" w:cstheme="majorHAnsi"/>
                <w:sz w:val="20"/>
                <w:szCs w:val="20"/>
              </w:rPr>
              <w:t>Suboptimal detection of contaminants</w:t>
            </w:r>
          </w:p>
          <w:p w14:paraId="685156CA" w14:textId="6B4BA27C" w:rsidR="006D01CB" w:rsidRPr="00707624" w:rsidRDefault="00313BC8" w:rsidP="006D01CB">
            <w:pPr>
              <w:rPr>
                <w:rFonts w:asciiTheme="majorHAnsi" w:hAnsiTheme="majorHAnsi" w:cstheme="majorHAnsi"/>
                <w:sz w:val="20"/>
                <w:szCs w:val="20"/>
              </w:rPr>
            </w:pPr>
            <w:r>
              <w:rPr>
                <w:rFonts w:asciiTheme="majorHAnsi" w:eastAsia="MyriadPro-Regular" w:hAnsiTheme="majorHAnsi" w:cstheme="majorHAnsi"/>
                <w:sz w:val="20"/>
                <w:szCs w:val="20"/>
              </w:rPr>
              <w:t>due to the sampling method</w:t>
            </w:r>
          </w:p>
        </w:tc>
        <w:tc>
          <w:tcPr>
            <w:tcW w:w="4677" w:type="dxa"/>
          </w:tcPr>
          <w:p w14:paraId="137B60D2" w14:textId="77777777" w:rsidR="006D01CB" w:rsidRPr="00707624" w:rsidRDefault="006D01CB" w:rsidP="006D01CB">
            <w:pPr>
              <w:autoSpaceDE w:val="0"/>
              <w:autoSpaceDN w:val="0"/>
              <w:adjustRightInd w:val="0"/>
              <w:rPr>
                <w:rFonts w:asciiTheme="majorHAnsi" w:hAnsiTheme="majorHAnsi" w:cstheme="majorHAnsi"/>
                <w:sz w:val="20"/>
                <w:szCs w:val="20"/>
                <w:lang w:val="en-GB"/>
              </w:rPr>
            </w:pPr>
            <w:r w:rsidRPr="00707624">
              <w:rPr>
                <w:rFonts w:asciiTheme="majorHAnsi" w:eastAsia="MyriadPro-Regular" w:hAnsiTheme="majorHAnsi" w:cstheme="majorHAnsi"/>
                <w:sz w:val="20"/>
                <w:szCs w:val="20"/>
                <w:lang w:eastAsia="en-US"/>
              </w:rPr>
              <w:t>If the only option for final microbiological sampling is swabbing or testing of</w:t>
            </w:r>
            <w:r>
              <w:rPr>
                <w:rFonts w:asciiTheme="majorHAnsi" w:eastAsia="MyriadPro-Regular" w:hAnsiTheme="majorHAnsi" w:cstheme="majorHAnsi"/>
                <w:sz w:val="20"/>
                <w:szCs w:val="20"/>
                <w:lang w:eastAsia="en-US"/>
              </w:rPr>
              <w:t xml:space="preserve"> </w:t>
            </w:r>
            <w:r w:rsidRPr="00707624">
              <w:rPr>
                <w:rFonts w:asciiTheme="majorHAnsi" w:eastAsia="MyriadPro-Regular" w:hAnsiTheme="majorHAnsi" w:cstheme="majorHAnsi"/>
                <w:sz w:val="20"/>
                <w:szCs w:val="20"/>
                <w:lang w:eastAsia="en-US"/>
              </w:rPr>
              <w:t>unrepresentative samples, the risk that contaminants will be undetected is</w:t>
            </w:r>
            <w:r>
              <w:rPr>
                <w:rFonts w:asciiTheme="majorHAnsi" w:eastAsia="MyriadPro-Regular" w:hAnsiTheme="majorHAnsi" w:cstheme="majorHAnsi"/>
                <w:sz w:val="20"/>
                <w:szCs w:val="20"/>
                <w:lang w:eastAsia="en-US"/>
              </w:rPr>
              <w:t xml:space="preserve"> </w:t>
            </w:r>
            <w:r w:rsidRPr="00707624">
              <w:rPr>
                <w:rFonts w:asciiTheme="majorHAnsi" w:eastAsia="MyriadPro-Regular" w:hAnsiTheme="majorHAnsi" w:cstheme="majorHAnsi"/>
                <w:sz w:val="20"/>
                <w:szCs w:val="20"/>
                <w:lang w:eastAsia="en-US"/>
              </w:rPr>
              <w:t>higher than in processes where 5-10 % destructive testing of final tissue and cell</w:t>
            </w:r>
            <w:r>
              <w:rPr>
                <w:rFonts w:asciiTheme="majorHAnsi" w:eastAsia="MyriadPro-Regular" w:hAnsiTheme="majorHAnsi" w:cstheme="majorHAnsi"/>
                <w:sz w:val="20"/>
                <w:szCs w:val="20"/>
                <w:lang w:eastAsia="en-US"/>
              </w:rPr>
              <w:t xml:space="preserve"> </w:t>
            </w:r>
            <w:r w:rsidRPr="00873F4B">
              <w:rPr>
                <w:rFonts w:asciiTheme="majorHAnsi" w:eastAsia="MyriadPro-Regular" w:hAnsiTheme="majorHAnsi" w:cstheme="majorHAnsi"/>
                <w:sz w:val="20"/>
                <w:szCs w:val="20"/>
                <w:lang w:eastAsia="en-US"/>
              </w:rPr>
              <w:t>grafts can be performed</w:t>
            </w:r>
          </w:p>
        </w:tc>
      </w:tr>
      <w:tr w:rsidR="006D01CB" w:rsidRPr="00D37765" w14:paraId="5638142C" w14:textId="77777777" w:rsidTr="006D01CB">
        <w:tc>
          <w:tcPr>
            <w:tcW w:w="1482" w:type="dxa"/>
            <w:vMerge/>
          </w:tcPr>
          <w:p w14:paraId="0D3EAE62" w14:textId="77777777" w:rsidR="006D01CB" w:rsidRDefault="006D01CB" w:rsidP="006D01CB">
            <w:pPr>
              <w:rPr>
                <w:rFonts w:asciiTheme="majorHAnsi" w:hAnsiTheme="majorHAnsi" w:cstheme="majorHAnsi"/>
                <w:sz w:val="20"/>
                <w:szCs w:val="20"/>
                <w:lang w:val="en-GB"/>
              </w:rPr>
            </w:pPr>
          </w:p>
        </w:tc>
        <w:tc>
          <w:tcPr>
            <w:tcW w:w="3475" w:type="dxa"/>
          </w:tcPr>
          <w:p w14:paraId="38B49F86" w14:textId="77777777" w:rsidR="006D01CB" w:rsidRPr="00D37765" w:rsidRDefault="006D01CB" w:rsidP="006D01CB">
            <w:pPr>
              <w:rPr>
                <w:rFonts w:asciiTheme="majorHAnsi" w:hAnsiTheme="majorHAnsi" w:cstheme="majorHAnsi"/>
                <w:sz w:val="20"/>
                <w:szCs w:val="20"/>
                <w:lang w:val="en-GB"/>
              </w:rPr>
            </w:pPr>
            <w:r>
              <w:rPr>
                <w:rFonts w:asciiTheme="majorHAnsi" w:hAnsiTheme="majorHAnsi" w:cstheme="majorHAnsi"/>
                <w:sz w:val="20"/>
                <w:szCs w:val="20"/>
                <w:lang w:val="en-GB"/>
              </w:rPr>
              <w:t>Batch size</w:t>
            </w:r>
          </w:p>
        </w:tc>
        <w:tc>
          <w:tcPr>
            <w:tcW w:w="4677" w:type="dxa"/>
          </w:tcPr>
          <w:p w14:paraId="04589AD2" w14:textId="40E5915B" w:rsidR="006D01CB" w:rsidRPr="00D37765" w:rsidRDefault="001054B1" w:rsidP="006D01CB">
            <w:pPr>
              <w:rPr>
                <w:rFonts w:asciiTheme="majorHAnsi" w:hAnsiTheme="majorHAnsi" w:cstheme="majorHAnsi"/>
                <w:sz w:val="20"/>
                <w:szCs w:val="20"/>
                <w:lang w:val="en-GB"/>
              </w:rPr>
            </w:pPr>
            <w:r w:rsidRPr="001054B1">
              <w:rPr>
                <w:rFonts w:asciiTheme="majorHAnsi" w:hAnsiTheme="majorHAnsi" w:cstheme="majorHAnsi"/>
                <w:sz w:val="20"/>
                <w:szCs w:val="20"/>
                <w:highlight w:val="yellow"/>
                <w:lang w:val="en-GB"/>
              </w:rPr>
              <w:t>text needs to be added</w:t>
            </w:r>
          </w:p>
        </w:tc>
      </w:tr>
      <w:tr w:rsidR="006D01CB" w:rsidRPr="00D37765" w14:paraId="4232C87B" w14:textId="77777777" w:rsidTr="006D01CB">
        <w:tc>
          <w:tcPr>
            <w:tcW w:w="1482" w:type="dxa"/>
            <w:vMerge w:val="restart"/>
          </w:tcPr>
          <w:p w14:paraId="406ACA6E" w14:textId="77777777" w:rsidR="006D01CB" w:rsidRPr="00707624" w:rsidRDefault="006D01CB" w:rsidP="006D01CB">
            <w:pPr>
              <w:rPr>
                <w:rFonts w:asciiTheme="majorHAnsi" w:hAnsiTheme="majorHAnsi" w:cstheme="majorHAnsi"/>
                <w:sz w:val="20"/>
                <w:szCs w:val="20"/>
                <w:lang w:val="en-GB"/>
              </w:rPr>
            </w:pPr>
            <w:r>
              <w:rPr>
                <w:rFonts w:asciiTheme="majorHAnsi" w:hAnsiTheme="majorHAnsi" w:cstheme="majorHAnsi"/>
                <w:sz w:val="20"/>
                <w:szCs w:val="20"/>
                <w:lang w:val="en-GB"/>
              </w:rPr>
              <w:t>Storage</w:t>
            </w:r>
          </w:p>
        </w:tc>
        <w:tc>
          <w:tcPr>
            <w:tcW w:w="3475" w:type="dxa"/>
          </w:tcPr>
          <w:p w14:paraId="5BE4ADC2" w14:textId="77777777" w:rsidR="006D01CB" w:rsidRPr="00D37765" w:rsidRDefault="006D01CB" w:rsidP="006D01CB">
            <w:pPr>
              <w:rPr>
                <w:rFonts w:asciiTheme="majorHAnsi" w:hAnsiTheme="majorHAnsi" w:cstheme="majorHAnsi"/>
                <w:sz w:val="20"/>
                <w:szCs w:val="20"/>
                <w:lang w:val="en-GB"/>
              </w:rPr>
            </w:pPr>
            <w:r w:rsidRPr="00707624">
              <w:rPr>
                <w:rFonts w:asciiTheme="majorHAnsi" w:hAnsiTheme="majorHAnsi" w:cstheme="majorHAnsi"/>
                <w:sz w:val="20"/>
                <w:szCs w:val="20"/>
                <w:lang w:val="en-GB"/>
              </w:rPr>
              <w:t>Storage method of the final product</w:t>
            </w:r>
          </w:p>
        </w:tc>
        <w:tc>
          <w:tcPr>
            <w:tcW w:w="4677" w:type="dxa"/>
          </w:tcPr>
          <w:p w14:paraId="6EEAD679" w14:textId="15A9DDEF" w:rsidR="006D01CB" w:rsidRPr="00D37765" w:rsidRDefault="001054B1" w:rsidP="006D01CB">
            <w:pPr>
              <w:rPr>
                <w:rFonts w:asciiTheme="majorHAnsi" w:hAnsiTheme="majorHAnsi" w:cstheme="majorHAnsi"/>
                <w:sz w:val="20"/>
                <w:szCs w:val="20"/>
                <w:lang w:val="en-GB"/>
              </w:rPr>
            </w:pPr>
            <w:r w:rsidRPr="001054B1">
              <w:rPr>
                <w:rFonts w:asciiTheme="majorHAnsi" w:hAnsiTheme="majorHAnsi" w:cstheme="majorHAnsi"/>
                <w:sz w:val="20"/>
                <w:szCs w:val="20"/>
                <w:highlight w:val="yellow"/>
                <w:lang w:val="en-GB"/>
              </w:rPr>
              <w:t>text needs to be added</w:t>
            </w:r>
          </w:p>
        </w:tc>
      </w:tr>
      <w:tr w:rsidR="006D01CB" w:rsidRPr="00D37765" w14:paraId="6A7046C5" w14:textId="77777777" w:rsidTr="006D01CB">
        <w:tc>
          <w:tcPr>
            <w:tcW w:w="1482" w:type="dxa"/>
            <w:vMerge/>
          </w:tcPr>
          <w:p w14:paraId="3141FF82" w14:textId="77777777" w:rsidR="006D01CB" w:rsidRDefault="006D01CB" w:rsidP="006D01CB">
            <w:pPr>
              <w:rPr>
                <w:rFonts w:asciiTheme="majorHAnsi" w:hAnsiTheme="majorHAnsi" w:cstheme="majorHAnsi"/>
                <w:sz w:val="20"/>
                <w:szCs w:val="20"/>
                <w:lang w:val="en-GB"/>
              </w:rPr>
            </w:pPr>
          </w:p>
        </w:tc>
        <w:tc>
          <w:tcPr>
            <w:tcW w:w="3475" w:type="dxa"/>
          </w:tcPr>
          <w:p w14:paraId="4BF3FC7C" w14:textId="77777777" w:rsidR="006D01CB" w:rsidRPr="00D37765" w:rsidRDefault="006D01CB" w:rsidP="006D01CB">
            <w:pPr>
              <w:rPr>
                <w:rFonts w:asciiTheme="majorHAnsi" w:hAnsiTheme="majorHAnsi" w:cstheme="majorHAnsi"/>
                <w:sz w:val="20"/>
                <w:szCs w:val="20"/>
                <w:lang w:val="en-GB"/>
              </w:rPr>
            </w:pPr>
            <w:r>
              <w:rPr>
                <w:rFonts w:asciiTheme="majorHAnsi" w:hAnsiTheme="majorHAnsi" w:cstheme="majorHAnsi"/>
                <w:sz w:val="20"/>
                <w:szCs w:val="20"/>
                <w:lang w:val="en-GB"/>
              </w:rPr>
              <w:t>Shelf-life of the final product</w:t>
            </w:r>
          </w:p>
        </w:tc>
        <w:tc>
          <w:tcPr>
            <w:tcW w:w="4677" w:type="dxa"/>
          </w:tcPr>
          <w:p w14:paraId="6A2A0E37" w14:textId="77777777" w:rsidR="006D01CB" w:rsidRPr="00D37765" w:rsidRDefault="006D01CB" w:rsidP="006D01CB">
            <w:pPr>
              <w:rPr>
                <w:rFonts w:asciiTheme="majorHAnsi" w:hAnsiTheme="majorHAnsi" w:cstheme="majorHAnsi"/>
                <w:sz w:val="20"/>
                <w:szCs w:val="20"/>
                <w:lang w:val="en-GB"/>
              </w:rPr>
            </w:pPr>
            <w:r>
              <w:rPr>
                <w:rFonts w:asciiTheme="majorHAnsi" w:hAnsiTheme="majorHAnsi" w:cstheme="majorHAnsi"/>
                <w:sz w:val="20"/>
                <w:szCs w:val="20"/>
                <w:lang w:val="en-GB"/>
              </w:rPr>
              <w:t xml:space="preserve">Limited time for testing, </w:t>
            </w:r>
            <w:r w:rsidRPr="00CC676E">
              <w:rPr>
                <w:rFonts w:asciiTheme="majorHAnsi" w:hAnsiTheme="majorHAnsi" w:cstheme="majorHAnsi"/>
                <w:sz w:val="20"/>
                <w:szCs w:val="20"/>
                <w:lang w:val="en-GB"/>
              </w:rPr>
              <w:t>Preparations of tissues and cells with a short</w:t>
            </w:r>
            <w:r>
              <w:rPr>
                <w:rFonts w:asciiTheme="majorHAnsi" w:hAnsiTheme="majorHAnsi" w:cstheme="majorHAnsi"/>
                <w:sz w:val="20"/>
                <w:szCs w:val="20"/>
                <w:lang w:val="en-GB"/>
              </w:rPr>
              <w:t xml:space="preserve"> </w:t>
            </w:r>
            <w:r w:rsidRPr="00CC676E">
              <w:rPr>
                <w:rFonts w:asciiTheme="majorHAnsi" w:hAnsiTheme="majorHAnsi" w:cstheme="majorHAnsi"/>
                <w:sz w:val="20"/>
                <w:szCs w:val="20"/>
                <w:lang w:val="en-GB"/>
              </w:rPr>
              <w:t>shelf-life may be released based on an intermediate</w:t>
            </w:r>
            <w:r>
              <w:rPr>
                <w:rFonts w:asciiTheme="majorHAnsi" w:hAnsiTheme="majorHAnsi" w:cstheme="majorHAnsi"/>
                <w:sz w:val="20"/>
                <w:szCs w:val="20"/>
                <w:lang w:val="en-GB"/>
              </w:rPr>
              <w:t xml:space="preserve"> </w:t>
            </w:r>
            <w:r w:rsidRPr="00CC676E">
              <w:rPr>
                <w:rFonts w:asciiTheme="majorHAnsi" w:hAnsiTheme="majorHAnsi" w:cstheme="majorHAnsi"/>
                <w:sz w:val="20"/>
                <w:szCs w:val="20"/>
                <w:lang w:val="en-GB"/>
              </w:rPr>
              <w:t>readout of the test before the test period is completed</w:t>
            </w:r>
            <w:r>
              <w:rPr>
                <w:rFonts w:asciiTheme="majorHAnsi" w:hAnsiTheme="majorHAnsi" w:cstheme="majorHAnsi"/>
                <w:sz w:val="20"/>
                <w:szCs w:val="20"/>
                <w:lang w:val="en-GB"/>
              </w:rPr>
              <w:t xml:space="preserve"> </w:t>
            </w:r>
            <w:r w:rsidRPr="00CC676E">
              <w:rPr>
                <w:rFonts w:asciiTheme="majorHAnsi" w:hAnsiTheme="majorHAnsi" w:cstheme="majorHAnsi"/>
                <w:sz w:val="20"/>
                <w:szCs w:val="20"/>
                <w:lang w:val="en-GB"/>
              </w:rPr>
              <w:t>(negative-to-date result).</w:t>
            </w:r>
          </w:p>
        </w:tc>
      </w:tr>
      <w:tr w:rsidR="006D01CB" w:rsidRPr="00D37765" w14:paraId="492D53FD" w14:textId="77777777" w:rsidTr="006D01CB">
        <w:tc>
          <w:tcPr>
            <w:tcW w:w="1482" w:type="dxa"/>
          </w:tcPr>
          <w:p w14:paraId="7057D7E5" w14:textId="77777777" w:rsidR="006D01CB" w:rsidRPr="00D37765" w:rsidRDefault="006D01CB" w:rsidP="006D01CB">
            <w:pPr>
              <w:rPr>
                <w:rFonts w:asciiTheme="majorHAnsi" w:eastAsia="MyriadPro-Regular" w:hAnsiTheme="majorHAnsi" w:cstheme="majorHAnsi"/>
                <w:sz w:val="20"/>
                <w:szCs w:val="20"/>
              </w:rPr>
            </w:pPr>
            <w:r>
              <w:rPr>
                <w:rFonts w:asciiTheme="majorHAnsi" w:eastAsia="MyriadPro-Regular" w:hAnsiTheme="majorHAnsi" w:cstheme="majorHAnsi"/>
                <w:sz w:val="20"/>
                <w:szCs w:val="20"/>
              </w:rPr>
              <w:t>Transplantation</w:t>
            </w:r>
          </w:p>
        </w:tc>
        <w:tc>
          <w:tcPr>
            <w:tcW w:w="3475" w:type="dxa"/>
          </w:tcPr>
          <w:p w14:paraId="75024E58" w14:textId="77777777" w:rsidR="006D01CB" w:rsidRPr="00D37765" w:rsidRDefault="006D01CB" w:rsidP="006D01CB">
            <w:pPr>
              <w:rPr>
                <w:rFonts w:asciiTheme="majorHAnsi" w:hAnsiTheme="majorHAnsi" w:cstheme="majorHAnsi"/>
                <w:sz w:val="20"/>
                <w:szCs w:val="20"/>
              </w:rPr>
            </w:pPr>
            <w:r w:rsidRPr="00D37765">
              <w:rPr>
                <w:rFonts w:asciiTheme="majorHAnsi" w:eastAsia="MyriadPro-Regular" w:hAnsiTheme="majorHAnsi" w:cstheme="majorHAnsi"/>
                <w:sz w:val="20"/>
                <w:szCs w:val="20"/>
              </w:rPr>
              <w:t>Transfer of contaminants at transplantation.</w:t>
            </w:r>
          </w:p>
        </w:tc>
        <w:tc>
          <w:tcPr>
            <w:tcW w:w="4677" w:type="dxa"/>
          </w:tcPr>
          <w:p w14:paraId="7484845F" w14:textId="77777777" w:rsidR="006D01CB" w:rsidRPr="00D37765" w:rsidRDefault="006D01CB" w:rsidP="006D01CB">
            <w:pPr>
              <w:autoSpaceDE w:val="0"/>
              <w:autoSpaceDN w:val="0"/>
              <w:adjustRightInd w:val="0"/>
              <w:rPr>
                <w:rFonts w:asciiTheme="majorHAnsi" w:eastAsia="MyriadPro-Regular" w:hAnsiTheme="majorHAnsi" w:cstheme="majorHAnsi"/>
                <w:sz w:val="20"/>
                <w:szCs w:val="20"/>
                <w:lang w:eastAsia="en-US"/>
              </w:rPr>
            </w:pPr>
            <w:r w:rsidRPr="00D37765">
              <w:rPr>
                <w:rFonts w:asciiTheme="majorHAnsi" w:eastAsia="MyriadPro-Regular" w:hAnsiTheme="majorHAnsi" w:cstheme="majorHAnsi"/>
                <w:sz w:val="20"/>
                <w:szCs w:val="20"/>
                <w:lang w:eastAsia="en-US"/>
              </w:rPr>
              <w:t>Tissues that are minimally processed, cellularised, or contain blood, blood vessels</w:t>
            </w:r>
            <w:r>
              <w:rPr>
                <w:rFonts w:asciiTheme="majorHAnsi" w:eastAsia="MyriadPro-Regular" w:hAnsiTheme="majorHAnsi" w:cstheme="majorHAnsi"/>
                <w:sz w:val="20"/>
                <w:szCs w:val="20"/>
                <w:lang w:eastAsia="en-US"/>
              </w:rPr>
              <w:t xml:space="preserve"> </w:t>
            </w:r>
            <w:r w:rsidRPr="00D37765">
              <w:rPr>
                <w:rFonts w:asciiTheme="majorHAnsi" w:eastAsia="MyriadPro-Regular" w:hAnsiTheme="majorHAnsi" w:cstheme="majorHAnsi"/>
                <w:sz w:val="20"/>
                <w:szCs w:val="20"/>
                <w:lang w:eastAsia="en-US"/>
              </w:rPr>
              <w:t>and lipids are more likely to support microbial contaminants than those that</w:t>
            </w:r>
            <w:r>
              <w:rPr>
                <w:rFonts w:asciiTheme="majorHAnsi" w:eastAsia="MyriadPro-Regular" w:hAnsiTheme="majorHAnsi" w:cstheme="majorHAnsi"/>
                <w:sz w:val="20"/>
                <w:szCs w:val="20"/>
                <w:lang w:eastAsia="en-US"/>
              </w:rPr>
              <w:t xml:space="preserve"> </w:t>
            </w:r>
            <w:r w:rsidRPr="00D37765">
              <w:rPr>
                <w:rFonts w:asciiTheme="majorHAnsi" w:eastAsia="MyriadPro-Regular" w:hAnsiTheme="majorHAnsi" w:cstheme="majorHAnsi"/>
                <w:sz w:val="20"/>
                <w:szCs w:val="20"/>
                <w:lang w:eastAsia="en-US"/>
              </w:rPr>
              <w:t>are blood- and cell-depleted.</w:t>
            </w:r>
          </w:p>
          <w:p w14:paraId="1AD71AD6" w14:textId="77777777" w:rsidR="006D01CB" w:rsidRPr="00D37765" w:rsidRDefault="006D01CB" w:rsidP="006D01CB">
            <w:pPr>
              <w:autoSpaceDE w:val="0"/>
              <w:autoSpaceDN w:val="0"/>
              <w:adjustRightInd w:val="0"/>
              <w:rPr>
                <w:rFonts w:asciiTheme="majorHAnsi" w:hAnsiTheme="majorHAnsi" w:cstheme="majorHAnsi"/>
                <w:sz w:val="20"/>
                <w:szCs w:val="20"/>
              </w:rPr>
            </w:pPr>
            <w:r w:rsidRPr="00D37765">
              <w:rPr>
                <w:rFonts w:asciiTheme="majorHAnsi" w:eastAsia="MyriadPro-Regular" w:hAnsiTheme="majorHAnsi" w:cstheme="majorHAnsi"/>
                <w:sz w:val="20"/>
                <w:szCs w:val="20"/>
                <w:lang w:eastAsia="en-US"/>
              </w:rPr>
              <w:t xml:space="preserve">Method of application (i.e. permanent </w:t>
            </w:r>
            <w:r w:rsidRPr="00D37765">
              <w:rPr>
                <w:rFonts w:asciiTheme="majorHAnsi" w:eastAsia="MyriadPro-Regular" w:hAnsiTheme="majorHAnsi" w:cstheme="majorHAnsi"/>
                <w:i/>
                <w:iCs/>
                <w:sz w:val="20"/>
                <w:szCs w:val="20"/>
                <w:lang w:eastAsia="en-US"/>
              </w:rPr>
              <w:t xml:space="preserve">versus </w:t>
            </w:r>
            <w:r w:rsidRPr="00D37765">
              <w:rPr>
                <w:rFonts w:asciiTheme="majorHAnsi" w:eastAsia="MyriadPro-Regular" w:hAnsiTheme="majorHAnsi" w:cstheme="majorHAnsi"/>
                <w:sz w:val="20"/>
                <w:szCs w:val="20"/>
                <w:lang w:eastAsia="en-US"/>
              </w:rPr>
              <w:t>temporary) and site of transplantation</w:t>
            </w:r>
            <w:r>
              <w:rPr>
                <w:rFonts w:asciiTheme="majorHAnsi" w:eastAsia="MyriadPro-Regular" w:hAnsiTheme="majorHAnsi" w:cstheme="majorHAnsi"/>
                <w:sz w:val="20"/>
                <w:szCs w:val="20"/>
                <w:lang w:eastAsia="en-US"/>
              </w:rPr>
              <w:t xml:space="preserve"> </w:t>
            </w:r>
            <w:r w:rsidRPr="00D37765">
              <w:rPr>
                <w:rFonts w:asciiTheme="majorHAnsi" w:eastAsia="MyriadPro-Regular" w:hAnsiTheme="majorHAnsi" w:cstheme="majorHAnsi"/>
                <w:sz w:val="20"/>
                <w:szCs w:val="20"/>
                <w:lang w:eastAsia="en-US"/>
              </w:rPr>
              <w:t>both affect the risk of transfer of contaminants.</w:t>
            </w:r>
          </w:p>
        </w:tc>
      </w:tr>
    </w:tbl>
    <w:p w14:paraId="6AFBFF5A" w14:textId="77777777" w:rsidR="006D01CB" w:rsidRPr="00B334A8" w:rsidRDefault="006D01CB" w:rsidP="006D01CB">
      <w:pPr>
        <w:rPr>
          <w:rFonts w:cstheme="minorHAnsi"/>
          <w:sz w:val="24"/>
          <w:szCs w:val="24"/>
        </w:rPr>
      </w:pPr>
    </w:p>
    <w:p w14:paraId="27BDC06F" w14:textId="08D8A000" w:rsidR="006D01CB" w:rsidRPr="006D01CB" w:rsidRDefault="00C93B88" w:rsidP="006D01CB">
      <w:pPr>
        <w:rPr>
          <w:rFonts w:cstheme="minorHAnsi"/>
          <w:sz w:val="24"/>
          <w:szCs w:val="24"/>
        </w:rPr>
      </w:pPr>
      <w:r w:rsidRPr="00C93B88">
        <w:rPr>
          <w:rFonts w:cstheme="minorHAnsi"/>
          <w:b/>
          <w:sz w:val="24"/>
          <w:szCs w:val="24"/>
        </w:rPr>
        <w:t>Figure X</w:t>
      </w:r>
      <w:r>
        <w:rPr>
          <w:rFonts w:cstheme="minorHAnsi"/>
          <w:sz w:val="24"/>
          <w:szCs w:val="24"/>
        </w:rPr>
        <w:t>. (</w:t>
      </w:r>
      <w:commentRangeStart w:id="45"/>
      <w:r>
        <w:rPr>
          <w:rFonts w:cstheme="minorHAnsi"/>
          <w:sz w:val="24"/>
          <w:szCs w:val="24"/>
        </w:rPr>
        <w:t>below</w:t>
      </w:r>
      <w:commentRangeEnd w:id="45"/>
      <w:r>
        <w:rPr>
          <w:rStyle w:val="CommentReference"/>
        </w:rPr>
        <w:commentReference w:id="45"/>
      </w:r>
      <w:r>
        <w:rPr>
          <w:rFonts w:cstheme="minorHAnsi"/>
          <w:sz w:val="24"/>
          <w:szCs w:val="24"/>
        </w:rPr>
        <w:t>)</w:t>
      </w:r>
    </w:p>
    <w:p w14:paraId="4B2FAB9A" w14:textId="34FCCBE4" w:rsidR="008206A0" w:rsidRDefault="008206A0" w:rsidP="0011204D">
      <w:pPr>
        <w:ind w:firstLine="720"/>
        <w:rPr>
          <w:rFonts w:cstheme="minorHAnsi"/>
          <w:sz w:val="24"/>
          <w:szCs w:val="24"/>
          <w:lang w:val="en-GB"/>
        </w:rPr>
      </w:pPr>
      <w:r>
        <w:rPr>
          <w:rFonts w:ascii="Arial" w:hAnsi="Arial" w:cs="Arial"/>
          <w:noProof/>
          <w:color w:val="000000"/>
          <w:bdr w:val="none" w:sz="0" w:space="0" w:color="auto" w:frame="1"/>
          <w:lang w:val="fi-FI" w:eastAsia="fi-FI"/>
        </w:rPr>
        <w:lastRenderedPageBreak/>
        <w:drawing>
          <wp:inline distT="0" distB="0" distL="0" distR="0" wp14:anchorId="3BE5A043" wp14:editId="3CD2C92F">
            <wp:extent cx="5830570" cy="6485255"/>
            <wp:effectExtent l="0" t="0" r="0" b="0"/>
            <wp:docPr id="14" name="Picture 14" descr="https://lh3.googleusercontent.com/V7TMYRzYkKDea3O3r4NYEhz9BorpNLDigqZxKv0vxMUH0E9n-Q18-BGFX2bDCbJbOLMo7ap-L6LOuZaonh-Dzy1xWe78Xn0ahJS5yPYxKkiFvkcb9z_twgoO8EGtPDG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V7TMYRzYkKDea3O3r4NYEhz9BorpNLDigqZxKv0vxMUH0E9n-Q18-BGFX2bDCbJbOLMo7ap-L6LOuZaonh-Dzy1xWe78Xn0ahJS5yPYxKkiFvkcb9z_twgoO8EGtPDGh-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0570" cy="6485255"/>
                    </a:xfrm>
                    <a:prstGeom prst="rect">
                      <a:avLst/>
                    </a:prstGeom>
                    <a:noFill/>
                    <a:ln>
                      <a:noFill/>
                    </a:ln>
                  </pic:spPr>
                </pic:pic>
              </a:graphicData>
            </a:graphic>
          </wp:inline>
        </w:drawing>
      </w:r>
    </w:p>
    <w:p w14:paraId="4831B18E" w14:textId="4ED36145" w:rsidR="008206A0" w:rsidRPr="008206A0" w:rsidRDefault="008206A0" w:rsidP="0011204D">
      <w:pPr>
        <w:ind w:firstLine="720"/>
        <w:rPr>
          <w:rFonts w:cstheme="minorHAnsi"/>
          <w:sz w:val="24"/>
          <w:szCs w:val="24"/>
          <w:lang w:val="en-GB"/>
        </w:rPr>
      </w:pPr>
    </w:p>
    <w:p w14:paraId="35755DF1" w14:textId="48DA6157" w:rsidR="008206A0" w:rsidRPr="000F061E" w:rsidRDefault="008206A0" w:rsidP="009A297D">
      <w:pPr>
        <w:pStyle w:val="Heading2"/>
        <w:numPr>
          <w:ilvl w:val="1"/>
          <w:numId w:val="18"/>
        </w:numPr>
      </w:pPr>
      <w:bookmarkStart w:id="46" w:name="_Toc41427180"/>
      <w:r w:rsidRPr="000F061E">
        <w:t xml:space="preserve">Specific requirements and criteria depending on the type of </w:t>
      </w:r>
      <w:r w:rsidR="00553FE3" w:rsidRPr="000F061E">
        <w:t>BTC</w:t>
      </w:r>
      <w:r w:rsidR="00B066EF">
        <w:t xml:space="preserve"> processing</w:t>
      </w:r>
      <w:bookmarkEnd w:id="46"/>
    </w:p>
    <w:p w14:paraId="058E5DE0" w14:textId="77777777" w:rsidR="008206A0" w:rsidRDefault="008206A0" w:rsidP="0011204D">
      <w:pPr>
        <w:rPr>
          <w:rFonts w:cstheme="minorHAnsi"/>
          <w:sz w:val="24"/>
          <w:szCs w:val="24"/>
          <w:lang w:val="en-GB"/>
        </w:rPr>
      </w:pPr>
    </w:p>
    <w:p w14:paraId="33E38D4C" w14:textId="3AA4C6B3" w:rsidR="007F7E07" w:rsidRDefault="007F7E07" w:rsidP="006C2062">
      <w:pPr>
        <w:jc w:val="both"/>
        <w:rPr>
          <w:rFonts w:cstheme="minorHAnsi"/>
          <w:sz w:val="24"/>
          <w:szCs w:val="24"/>
          <w:lang w:val="en-GB"/>
        </w:rPr>
      </w:pPr>
      <w:r>
        <w:rPr>
          <w:rFonts w:cstheme="minorHAnsi"/>
          <w:sz w:val="24"/>
          <w:szCs w:val="24"/>
          <w:lang w:val="en-GB"/>
        </w:rPr>
        <w:t xml:space="preserve">Different requirements for testing of microbiological quality of BTC apply for cases where BTC has been procured and processed in closed or open systems. </w:t>
      </w:r>
      <w:r w:rsidR="006C2062">
        <w:rPr>
          <w:rFonts w:cstheme="minorHAnsi"/>
          <w:sz w:val="24"/>
          <w:szCs w:val="24"/>
          <w:lang w:val="en-GB"/>
        </w:rPr>
        <w:t>BTC p</w:t>
      </w:r>
      <w:r w:rsidR="0051253D" w:rsidRPr="0051253D">
        <w:rPr>
          <w:rFonts w:cstheme="minorHAnsi"/>
          <w:sz w:val="24"/>
          <w:szCs w:val="24"/>
          <w:lang w:val="en-GB"/>
        </w:rPr>
        <w:t>rocurement system</w:t>
      </w:r>
      <w:r w:rsidR="006C2062">
        <w:rPr>
          <w:rFonts w:cstheme="minorHAnsi"/>
          <w:sz w:val="24"/>
          <w:szCs w:val="24"/>
          <w:lang w:val="en-GB"/>
        </w:rPr>
        <w:t>s</w:t>
      </w:r>
      <w:r w:rsidR="0051253D" w:rsidRPr="0051253D">
        <w:rPr>
          <w:rFonts w:cstheme="minorHAnsi"/>
          <w:sz w:val="24"/>
          <w:szCs w:val="24"/>
          <w:lang w:val="en-GB"/>
        </w:rPr>
        <w:t xml:space="preserve"> </w:t>
      </w:r>
      <w:r w:rsidR="0051253D">
        <w:rPr>
          <w:rFonts w:cstheme="minorHAnsi"/>
          <w:sz w:val="24"/>
          <w:szCs w:val="24"/>
          <w:lang w:val="en-GB"/>
        </w:rPr>
        <w:t xml:space="preserve">can be </w:t>
      </w:r>
      <w:r w:rsidR="0051253D">
        <w:rPr>
          <w:rFonts w:cstheme="minorHAnsi"/>
          <w:sz w:val="24"/>
          <w:szCs w:val="24"/>
          <w:lang w:val="en-GB"/>
        </w:rPr>
        <w:lastRenderedPageBreak/>
        <w:t xml:space="preserve">closed </w:t>
      </w:r>
      <w:r w:rsidR="0051253D" w:rsidRPr="0051253D">
        <w:rPr>
          <w:rFonts w:cstheme="minorHAnsi"/>
          <w:sz w:val="24"/>
          <w:szCs w:val="24"/>
          <w:lang w:val="en-GB"/>
        </w:rPr>
        <w:t xml:space="preserve">with equipment designed and operated </w:t>
      </w:r>
      <w:r w:rsidR="00D22299">
        <w:rPr>
          <w:rFonts w:cstheme="minorHAnsi"/>
          <w:sz w:val="24"/>
          <w:szCs w:val="24"/>
          <w:lang w:val="en-GB"/>
        </w:rPr>
        <w:t xml:space="preserve">in </w:t>
      </w:r>
      <w:r w:rsidR="0051253D" w:rsidRPr="0051253D">
        <w:rPr>
          <w:rFonts w:cstheme="minorHAnsi"/>
          <w:sz w:val="24"/>
          <w:szCs w:val="24"/>
          <w:lang w:val="en-GB"/>
        </w:rPr>
        <w:t xml:space="preserve">such </w:t>
      </w:r>
      <w:r w:rsidR="00D22299">
        <w:rPr>
          <w:rFonts w:cstheme="minorHAnsi"/>
          <w:sz w:val="24"/>
          <w:szCs w:val="24"/>
          <w:lang w:val="en-GB"/>
        </w:rPr>
        <w:t xml:space="preserve">way </w:t>
      </w:r>
      <w:r w:rsidR="0051253D" w:rsidRPr="0051253D">
        <w:rPr>
          <w:rFonts w:cstheme="minorHAnsi"/>
          <w:sz w:val="24"/>
          <w:szCs w:val="24"/>
          <w:lang w:val="en-GB"/>
        </w:rPr>
        <w:t xml:space="preserve">that the </w:t>
      </w:r>
      <w:r w:rsidR="0051253D">
        <w:rPr>
          <w:rFonts w:cstheme="minorHAnsi"/>
          <w:sz w:val="24"/>
          <w:szCs w:val="24"/>
          <w:lang w:val="en-GB"/>
        </w:rPr>
        <w:t>BTC</w:t>
      </w:r>
      <w:r w:rsidR="0051253D" w:rsidRPr="0051253D">
        <w:rPr>
          <w:rFonts w:cstheme="minorHAnsi"/>
          <w:sz w:val="24"/>
          <w:szCs w:val="24"/>
          <w:lang w:val="en-GB"/>
        </w:rPr>
        <w:t xml:space="preserve"> are not exposed to the environment</w:t>
      </w:r>
      <w:r w:rsidR="0051253D">
        <w:rPr>
          <w:rFonts w:cstheme="minorHAnsi"/>
          <w:sz w:val="24"/>
          <w:szCs w:val="24"/>
          <w:lang w:val="en-GB"/>
        </w:rPr>
        <w:t xml:space="preserve">, or open </w:t>
      </w:r>
      <w:r w:rsidR="006C2062">
        <w:rPr>
          <w:rFonts w:cstheme="minorHAnsi"/>
          <w:sz w:val="24"/>
          <w:szCs w:val="24"/>
          <w:lang w:val="en-GB"/>
        </w:rPr>
        <w:t>that expose</w:t>
      </w:r>
      <w:r w:rsidR="006C2062" w:rsidRPr="006C2062">
        <w:rPr>
          <w:rFonts w:cstheme="minorHAnsi"/>
          <w:sz w:val="24"/>
          <w:szCs w:val="24"/>
          <w:lang w:val="en-GB"/>
        </w:rPr>
        <w:t xml:space="preserve"> the </w:t>
      </w:r>
      <w:r w:rsidR="006C2062">
        <w:rPr>
          <w:rFonts w:cstheme="minorHAnsi"/>
          <w:sz w:val="24"/>
          <w:szCs w:val="24"/>
          <w:lang w:val="en-GB"/>
        </w:rPr>
        <w:t>BTC</w:t>
      </w:r>
      <w:r w:rsidR="006C2062" w:rsidRPr="006C2062">
        <w:rPr>
          <w:rFonts w:cstheme="minorHAnsi"/>
          <w:sz w:val="24"/>
          <w:szCs w:val="24"/>
          <w:lang w:val="en-GB"/>
        </w:rPr>
        <w:t xml:space="preserve"> to the environment</w:t>
      </w:r>
      <w:r w:rsidR="006C2062">
        <w:rPr>
          <w:rFonts w:cstheme="minorHAnsi"/>
          <w:sz w:val="24"/>
          <w:szCs w:val="24"/>
          <w:lang w:val="en-GB"/>
        </w:rPr>
        <w:t xml:space="preserve">. </w:t>
      </w:r>
    </w:p>
    <w:p w14:paraId="08B23015" w14:textId="607A6DE9" w:rsidR="00F809A0" w:rsidRDefault="00F809A0" w:rsidP="00F809A0">
      <w:pPr>
        <w:jc w:val="both"/>
        <w:rPr>
          <w:rFonts w:cstheme="minorHAnsi"/>
          <w:sz w:val="24"/>
          <w:szCs w:val="24"/>
          <w:lang w:val="en-GB"/>
        </w:rPr>
      </w:pPr>
      <w:r>
        <w:rPr>
          <w:rFonts w:cstheme="minorHAnsi"/>
          <w:sz w:val="24"/>
          <w:szCs w:val="24"/>
          <w:lang w:val="en-GB"/>
        </w:rPr>
        <w:t>Chapter 4.4</w:t>
      </w:r>
      <w:r w:rsidRPr="00F70C2B">
        <w:rPr>
          <w:rFonts w:cstheme="minorHAnsi"/>
          <w:sz w:val="24"/>
          <w:szCs w:val="24"/>
          <w:lang w:val="en-GB"/>
        </w:rPr>
        <w:t xml:space="preserve"> </w:t>
      </w:r>
      <w:r>
        <w:rPr>
          <w:rFonts w:cstheme="minorHAnsi"/>
          <w:sz w:val="24"/>
          <w:szCs w:val="24"/>
          <w:lang w:val="en-GB"/>
        </w:rPr>
        <w:t>M</w:t>
      </w:r>
      <w:r w:rsidRPr="00925E55">
        <w:rPr>
          <w:rFonts w:cstheme="minorHAnsi"/>
          <w:sz w:val="24"/>
          <w:szCs w:val="24"/>
          <w:lang w:val="en-GB"/>
        </w:rPr>
        <w:t xml:space="preserve">ethods for control of microbiological quality </w:t>
      </w:r>
      <w:r>
        <w:rPr>
          <w:rFonts w:cstheme="minorHAnsi"/>
          <w:sz w:val="24"/>
          <w:szCs w:val="24"/>
          <w:lang w:val="en-GB"/>
        </w:rPr>
        <w:t>apply to both cases.</w:t>
      </w:r>
    </w:p>
    <w:p w14:paraId="5E679EC3" w14:textId="77777777" w:rsidR="00F809A0" w:rsidRDefault="00F809A0" w:rsidP="006C2062">
      <w:pPr>
        <w:jc w:val="both"/>
        <w:rPr>
          <w:rFonts w:cstheme="minorHAnsi"/>
          <w:sz w:val="24"/>
          <w:szCs w:val="24"/>
          <w:lang w:val="en-GB"/>
        </w:rPr>
      </w:pPr>
    </w:p>
    <w:p w14:paraId="01A5FF77" w14:textId="032154D4" w:rsidR="008206A0" w:rsidRPr="000155CA" w:rsidRDefault="005E42D4" w:rsidP="006121F7">
      <w:pPr>
        <w:pStyle w:val="Heading3"/>
      </w:pPr>
      <w:bookmarkStart w:id="47" w:name="_Toc41427181"/>
      <w:r w:rsidRPr="000155CA">
        <w:t>6</w:t>
      </w:r>
      <w:r w:rsidR="008206A0" w:rsidRPr="000155CA">
        <w:t>.2.1</w:t>
      </w:r>
      <w:r w:rsidR="000155CA">
        <w:t>.</w:t>
      </w:r>
      <w:r w:rsidR="008206A0" w:rsidRPr="000155CA">
        <w:t xml:space="preserve"> </w:t>
      </w:r>
      <w:r w:rsidR="007C6F55">
        <w:t>BTC with processing in closed systems</w:t>
      </w:r>
      <w:bookmarkEnd w:id="47"/>
    </w:p>
    <w:p w14:paraId="4F7D4A5E" w14:textId="1D9A8A24" w:rsidR="008206A0" w:rsidRDefault="008206A0" w:rsidP="0011204D">
      <w:pPr>
        <w:rPr>
          <w:lang w:val="en-GB"/>
        </w:rPr>
      </w:pPr>
    </w:p>
    <w:p w14:paraId="2A780CB8" w14:textId="2A07CE9F" w:rsidR="007C6F55" w:rsidRDefault="007C6F55" w:rsidP="007C6F55">
      <w:pPr>
        <w:jc w:val="both"/>
        <w:rPr>
          <w:rFonts w:cstheme="minorHAnsi"/>
          <w:sz w:val="24"/>
          <w:szCs w:val="24"/>
        </w:rPr>
      </w:pPr>
      <w:r>
        <w:rPr>
          <w:rFonts w:cstheme="minorHAnsi"/>
          <w:sz w:val="24"/>
          <w:szCs w:val="24"/>
          <w:lang w:val="en-GB"/>
        </w:rPr>
        <w:t>Use of closed systems is strongly recommended for all steps in blood component processing. Open systems may exceptionally be necessary due to local constraints and should be undertaken in an environment specifically designed to min</w:t>
      </w:r>
      <w:r w:rsidR="00305F20">
        <w:rPr>
          <w:rFonts w:cstheme="minorHAnsi"/>
          <w:sz w:val="24"/>
          <w:szCs w:val="24"/>
          <w:lang w:val="en-GB"/>
        </w:rPr>
        <w:t>imise the risk of contamination</w:t>
      </w:r>
      <w:r>
        <w:rPr>
          <w:rFonts w:cstheme="minorHAnsi"/>
          <w:sz w:val="24"/>
          <w:szCs w:val="24"/>
          <w:lang w:val="en-GB"/>
        </w:rPr>
        <w:t xml:space="preserve"> (</w:t>
      </w:r>
      <w:r>
        <w:rPr>
          <w:rFonts w:cstheme="minorHAnsi"/>
          <w:sz w:val="24"/>
          <w:szCs w:val="24"/>
        </w:rPr>
        <w:t>Directive (EU) 2016/1214 Art. 1, Good Practice Guidelines 6.6.3)</w:t>
      </w:r>
      <w:r w:rsidR="00305F20">
        <w:rPr>
          <w:rFonts w:cstheme="minorHAnsi"/>
          <w:sz w:val="24"/>
          <w:szCs w:val="24"/>
        </w:rPr>
        <w:t>.</w:t>
      </w:r>
      <w:r>
        <w:rPr>
          <w:rFonts w:cstheme="minorHAnsi"/>
          <w:sz w:val="24"/>
          <w:szCs w:val="24"/>
        </w:rPr>
        <w:t xml:space="preserve"> </w:t>
      </w:r>
      <w:r w:rsidR="00305F20">
        <w:rPr>
          <w:rFonts w:cstheme="minorHAnsi"/>
          <w:sz w:val="24"/>
          <w:szCs w:val="24"/>
        </w:rPr>
        <w:t>Processing in closed systems are generally used a</w:t>
      </w:r>
      <w:r w:rsidR="00075479">
        <w:rPr>
          <w:rFonts w:cstheme="minorHAnsi"/>
          <w:sz w:val="24"/>
          <w:szCs w:val="24"/>
        </w:rPr>
        <w:t xml:space="preserve">lso for </w:t>
      </w:r>
      <w:r w:rsidR="008C5D09" w:rsidRPr="008C5D09">
        <w:rPr>
          <w:rFonts w:cstheme="minorHAnsi"/>
          <w:sz w:val="24"/>
          <w:szCs w:val="24"/>
        </w:rPr>
        <w:t xml:space="preserve">haematopoietic progenitor cells </w:t>
      </w:r>
      <w:r w:rsidR="008C5D09">
        <w:rPr>
          <w:rFonts w:cstheme="minorHAnsi"/>
          <w:sz w:val="24"/>
          <w:szCs w:val="24"/>
        </w:rPr>
        <w:t xml:space="preserve">procured by apheresis </w:t>
      </w:r>
      <w:r w:rsidR="008C5D09" w:rsidRPr="008C5D09">
        <w:rPr>
          <w:rFonts w:cstheme="minorHAnsi"/>
          <w:sz w:val="24"/>
          <w:szCs w:val="24"/>
        </w:rPr>
        <w:t>and mononuclear cells</w:t>
      </w:r>
      <w:r w:rsidR="00075479">
        <w:rPr>
          <w:rFonts w:cstheme="minorHAnsi"/>
          <w:sz w:val="24"/>
          <w:szCs w:val="24"/>
        </w:rPr>
        <w:t xml:space="preserve"> </w:t>
      </w:r>
      <w:r w:rsidR="008C5D09">
        <w:rPr>
          <w:rFonts w:cstheme="minorHAnsi"/>
          <w:sz w:val="24"/>
          <w:szCs w:val="24"/>
        </w:rPr>
        <w:t>(EDQM T&amp;C Guide, 22.3).</w:t>
      </w:r>
    </w:p>
    <w:p w14:paraId="09055283" w14:textId="47C2AE12" w:rsidR="00096B63" w:rsidRDefault="00096B63" w:rsidP="00096B63">
      <w:pPr>
        <w:jc w:val="both"/>
        <w:rPr>
          <w:rFonts w:cstheme="minorHAnsi"/>
          <w:sz w:val="24"/>
          <w:szCs w:val="24"/>
        </w:rPr>
      </w:pPr>
      <w:r>
        <w:rPr>
          <w:rFonts w:cstheme="minorHAnsi"/>
          <w:sz w:val="24"/>
          <w:szCs w:val="24"/>
        </w:rPr>
        <w:t>For BTC with processing in closed systems, r</w:t>
      </w:r>
      <w:r w:rsidRPr="00096B63">
        <w:rPr>
          <w:rFonts w:cstheme="minorHAnsi"/>
          <w:sz w:val="24"/>
          <w:szCs w:val="24"/>
        </w:rPr>
        <w:t>epeated testing</w:t>
      </w:r>
      <w:r>
        <w:rPr>
          <w:rFonts w:cstheme="minorHAnsi"/>
          <w:sz w:val="24"/>
          <w:szCs w:val="24"/>
        </w:rPr>
        <w:t xml:space="preserve"> </w:t>
      </w:r>
      <w:r w:rsidRPr="00096B63">
        <w:rPr>
          <w:rFonts w:cstheme="minorHAnsi"/>
          <w:sz w:val="24"/>
          <w:szCs w:val="24"/>
        </w:rPr>
        <w:t xml:space="preserve">steps do not yield </w:t>
      </w:r>
      <w:r w:rsidR="00305F20">
        <w:rPr>
          <w:rFonts w:cstheme="minorHAnsi"/>
          <w:sz w:val="24"/>
          <w:szCs w:val="24"/>
        </w:rPr>
        <w:t>additional</w:t>
      </w:r>
      <w:r w:rsidRPr="00096B63">
        <w:rPr>
          <w:rFonts w:cstheme="minorHAnsi"/>
          <w:sz w:val="24"/>
          <w:szCs w:val="24"/>
        </w:rPr>
        <w:t xml:space="preserve"> information</w:t>
      </w:r>
      <w:r>
        <w:rPr>
          <w:rFonts w:cstheme="minorHAnsi"/>
          <w:sz w:val="24"/>
          <w:szCs w:val="24"/>
        </w:rPr>
        <w:t xml:space="preserve"> on the microbiologica</w:t>
      </w:r>
      <w:r w:rsidRPr="00096B63">
        <w:rPr>
          <w:rFonts w:cstheme="minorHAnsi"/>
          <w:sz w:val="24"/>
          <w:szCs w:val="24"/>
        </w:rPr>
        <w:t xml:space="preserve">l status of the </w:t>
      </w:r>
      <w:r>
        <w:rPr>
          <w:rFonts w:cstheme="minorHAnsi"/>
          <w:sz w:val="24"/>
          <w:szCs w:val="24"/>
        </w:rPr>
        <w:t>BTC</w:t>
      </w:r>
      <w:r w:rsidRPr="00096B63">
        <w:rPr>
          <w:rFonts w:cstheme="minorHAnsi"/>
          <w:sz w:val="24"/>
          <w:szCs w:val="24"/>
        </w:rPr>
        <w:t xml:space="preserve"> </w:t>
      </w:r>
      <w:r>
        <w:rPr>
          <w:rFonts w:cstheme="minorHAnsi"/>
          <w:sz w:val="24"/>
          <w:szCs w:val="24"/>
        </w:rPr>
        <w:t xml:space="preserve">and </w:t>
      </w:r>
      <w:r w:rsidRPr="00096B63">
        <w:rPr>
          <w:rFonts w:cstheme="minorHAnsi"/>
          <w:sz w:val="24"/>
          <w:szCs w:val="24"/>
        </w:rPr>
        <w:t xml:space="preserve">are </w:t>
      </w:r>
      <w:r w:rsidR="00305F20">
        <w:rPr>
          <w:rFonts w:cstheme="minorHAnsi"/>
          <w:sz w:val="24"/>
          <w:szCs w:val="24"/>
        </w:rPr>
        <w:t xml:space="preserve">thus </w:t>
      </w:r>
      <w:r w:rsidRPr="00096B63">
        <w:rPr>
          <w:rFonts w:cstheme="minorHAnsi"/>
          <w:sz w:val="24"/>
          <w:szCs w:val="24"/>
        </w:rPr>
        <w:t xml:space="preserve">not </w:t>
      </w:r>
      <w:r>
        <w:rPr>
          <w:rFonts w:cstheme="minorHAnsi"/>
          <w:sz w:val="24"/>
          <w:szCs w:val="24"/>
        </w:rPr>
        <w:t>required</w:t>
      </w:r>
      <w:r w:rsidRPr="00096B63">
        <w:rPr>
          <w:rFonts w:cstheme="minorHAnsi"/>
          <w:sz w:val="24"/>
          <w:szCs w:val="24"/>
        </w:rPr>
        <w:t>. In such</w:t>
      </w:r>
      <w:r>
        <w:rPr>
          <w:rFonts w:cstheme="minorHAnsi"/>
          <w:sz w:val="24"/>
          <w:szCs w:val="24"/>
        </w:rPr>
        <w:t xml:space="preserve"> </w:t>
      </w:r>
      <w:r w:rsidRPr="00096B63">
        <w:rPr>
          <w:rFonts w:cstheme="minorHAnsi"/>
          <w:sz w:val="24"/>
          <w:szCs w:val="24"/>
        </w:rPr>
        <w:t>cases, a reduced testing strategy that relies on single</w:t>
      </w:r>
      <w:r>
        <w:rPr>
          <w:rFonts w:cstheme="minorHAnsi"/>
          <w:sz w:val="24"/>
          <w:szCs w:val="24"/>
        </w:rPr>
        <w:t xml:space="preserve"> </w:t>
      </w:r>
      <w:r w:rsidRPr="00096B63">
        <w:rPr>
          <w:rFonts w:cstheme="minorHAnsi"/>
          <w:sz w:val="24"/>
          <w:szCs w:val="24"/>
        </w:rPr>
        <w:t>testing of samples taken at an appropriate time point</w:t>
      </w:r>
      <w:r>
        <w:rPr>
          <w:rFonts w:cstheme="minorHAnsi"/>
          <w:sz w:val="24"/>
          <w:szCs w:val="24"/>
        </w:rPr>
        <w:t xml:space="preserve"> </w:t>
      </w:r>
      <w:r w:rsidRPr="00096B63">
        <w:rPr>
          <w:rFonts w:cstheme="minorHAnsi"/>
          <w:sz w:val="24"/>
          <w:szCs w:val="24"/>
        </w:rPr>
        <w:t>may be applicable</w:t>
      </w:r>
      <w:r>
        <w:rPr>
          <w:rFonts w:cstheme="minorHAnsi"/>
          <w:sz w:val="24"/>
          <w:szCs w:val="24"/>
        </w:rPr>
        <w:t>. (EDQM T&amp;C Guide, 10.3.5.1)</w:t>
      </w:r>
    </w:p>
    <w:p w14:paraId="3E80ED13" w14:textId="76C747F3" w:rsidR="007C339C" w:rsidRDefault="00DE39D5" w:rsidP="007C339C">
      <w:pPr>
        <w:jc w:val="both"/>
        <w:rPr>
          <w:rFonts w:cstheme="minorHAnsi"/>
          <w:sz w:val="24"/>
          <w:szCs w:val="24"/>
        </w:rPr>
      </w:pPr>
      <w:r>
        <w:rPr>
          <w:rFonts w:cstheme="minorHAnsi"/>
          <w:sz w:val="24"/>
          <w:szCs w:val="24"/>
        </w:rPr>
        <w:t xml:space="preserve">According to the </w:t>
      </w:r>
      <w:r>
        <w:rPr>
          <w:rFonts w:cstheme="minorHAnsi"/>
          <w:sz w:val="24"/>
          <w:szCs w:val="24"/>
          <w:lang w:val="en-GB"/>
        </w:rPr>
        <w:t>Directive 2004/33/EC</w:t>
      </w:r>
      <w:r w:rsidRPr="00B2482C">
        <w:rPr>
          <w:rFonts w:cstheme="minorHAnsi"/>
          <w:sz w:val="24"/>
          <w:szCs w:val="24"/>
          <w:lang w:val="en-GB"/>
        </w:rPr>
        <w:t xml:space="preserve"> </w:t>
      </w:r>
      <w:r>
        <w:rPr>
          <w:rFonts w:cstheme="minorHAnsi"/>
          <w:sz w:val="24"/>
          <w:szCs w:val="24"/>
          <w:lang w:val="en-GB"/>
        </w:rPr>
        <w:t>(Annex V, 2.2),</w:t>
      </w:r>
      <w:r w:rsidRPr="000155CA">
        <w:rPr>
          <w:rFonts w:cstheme="minorHAnsi"/>
          <w:sz w:val="24"/>
          <w:szCs w:val="24"/>
          <w:lang w:val="en-GB"/>
        </w:rPr>
        <w:t xml:space="preserve"> </w:t>
      </w:r>
      <w:r>
        <w:rPr>
          <w:rFonts w:cstheme="minorHAnsi"/>
          <w:sz w:val="24"/>
          <w:szCs w:val="24"/>
          <w:lang w:val="en-GB"/>
        </w:rPr>
        <w:t>a</w:t>
      </w:r>
      <w:r w:rsidRPr="00B2482C">
        <w:rPr>
          <w:rFonts w:cstheme="minorHAnsi"/>
          <w:sz w:val="24"/>
          <w:szCs w:val="24"/>
          <w:lang w:val="en-GB"/>
        </w:rPr>
        <w:t xml:space="preserve">ppropriate bacteriological control of the collection and </w:t>
      </w:r>
      <w:r>
        <w:rPr>
          <w:rFonts w:cstheme="minorHAnsi"/>
          <w:sz w:val="24"/>
          <w:szCs w:val="24"/>
          <w:lang w:val="en-GB"/>
        </w:rPr>
        <w:t>processing of blood products must be performed.</w:t>
      </w:r>
      <w:r w:rsidR="00044317">
        <w:rPr>
          <w:rFonts w:cstheme="minorHAnsi"/>
          <w:sz w:val="24"/>
          <w:szCs w:val="24"/>
          <w:lang w:val="en-GB"/>
        </w:rPr>
        <w:t xml:space="preserve"> </w:t>
      </w:r>
      <w:r w:rsidR="007C339C" w:rsidRPr="00CD043C">
        <w:rPr>
          <w:rFonts w:cstheme="minorHAnsi"/>
          <w:sz w:val="24"/>
          <w:szCs w:val="24"/>
        </w:rPr>
        <w:t>Bacterial cultures of platelet components provide the</w:t>
      </w:r>
      <w:r w:rsidR="007C339C">
        <w:rPr>
          <w:rFonts w:cstheme="minorHAnsi"/>
          <w:sz w:val="24"/>
          <w:szCs w:val="24"/>
        </w:rPr>
        <w:t xml:space="preserve"> </w:t>
      </w:r>
      <w:r w:rsidR="007C339C" w:rsidRPr="00CD043C">
        <w:rPr>
          <w:rFonts w:cstheme="minorHAnsi"/>
          <w:sz w:val="24"/>
          <w:szCs w:val="24"/>
        </w:rPr>
        <w:t>best indication of the overall rate of contamination of whole blood</w:t>
      </w:r>
      <w:r w:rsidR="007C339C">
        <w:rPr>
          <w:rFonts w:cstheme="minorHAnsi"/>
          <w:sz w:val="24"/>
          <w:szCs w:val="24"/>
        </w:rPr>
        <w:t xml:space="preserve"> </w:t>
      </w:r>
      <w:r w:rsidR="007C339C" w:rsidRPr="00CD043C">
        <w:rPr>
          <w:rFonts w:cstheme="minorHAnsi"/>
          <w:sz w:val="24"/>
          <w:szCs w:val="24"/>
        </w:rPr>
        <w:t>donation provided that the sample for culture is obtained in a suitable</w:t>
      </w:r>
      <w:r w:rsidR="007C339C">
        <w:rPr>
          <w:rFonts w:cstheme="minorHAnsi"/>
          <w:sz w:val="24"/>
          <w:szCs w:val="24"/>
        </w:rPr>
        <w:t xml:space="preserve"> </w:t>
      </w:r>
      <w:r w:rsidR="007C339C" w:rsidRPr="00CD043C">
        <w:rPr>
          <w:rFonts w:cstheme="minorHAnsi"/>
          <w:sz w:val="24"/>
          <w:szCs w:val="24"/>
        </w:rPr>
        <w:t>volume and at a suitable time after collection. Platelet</w:t>
      </w:r>
      <w:r w:rsidR="007C339C">
        <w:rPr>
          <w:rFonts w:cstheme="minorHAnsi"/>
          <w:sz w:val="24"/>
          <w:szCs w:val="24"/>
        </w:rPr>
        <w:t xml:space="preserve"> </w:t>
      </w:r>
      <w:r w:rsidR="007C339C" w:rsidRPr="00CD043C">
        <w:rPr>
          <w:rFonts w:cstheme="minorHAnsi"/>
          <w:sz w:val="24"/>
          <w:szCs w:val="24"/>
        </w:rPr>
        <w:t>components are more likely than other blood components to be</w:t>
      </w:r>
      <w:r w:rsidR="007C339C">
        <w:rPr>
          <w:rFonts w:cstheme="minorHAnsi"/>
          <w:sz w:val="24"/>
          <w:szCs w:val="24"/>
        </w:rPr>
        <w:t xml:space="preserve"> </w:t>
      </w:r>
      <w:r w:rsidR="007C339C" w:rsidRPr="00CD043C">
        <w:rPr>
          <w:rFonts w:cstheme="minorHAnsi"/>
          <w:sz w:val="24"/>
          <w:szCs w:val="24"/>
        </w:rPr>
        <w:t>associated with sepsis due to their storage at room temperature, which</w:t>
      </w:r>
      <w:r w:rsidR="007C339C">
        <w:rPr>
          <w:rFonts w:cstheme="minorHAnsi"/>
          <w:sz w:val="24"/>
          <w:szCs w:val="24"/>
        </w:rPr>
        <w:t xml:space="preserve"> </w:t>
      </w:r>
      <w:r w:rsidR="007C339C" w:rsidRPr="00CD043C">
        <w:rPr>
          <w:rFonts w:cstheme="minorHAnsi"/>
          <w:sz w:val="24"/>
          <w:szCs w:val="24"/>
        </w:rPr>
        <w:t>facilitates bacterial growth.</w:t>
      </w:r>
      <w:r w:rsidR="007C339C">
        <w:rPr>
          <w:rFonts w:cstheme="minorHAnsi"/>
          <w:sz w:val="24"/>
          <w:szCs w:val="24"/>
        </w:rPr>
        <w:t xml:space="preserve"> </w:t>
      </w:r>
      <w:r w:rsidR="007C339C" w:rsidRPr="00525ACD">
        <w:rPr>
          <w:rFonts w:cstheme="minorHAnsi"/>
          <w:sz w:val="24"/>
          <w:szCs w:val="24"/>
        </w:rPr>
        <w:t>Data on routine bacterial monitoring should be analysed using</w:t>
      </w:r>
      <w:r w:rsidR="007C339C">
        <w:rPr>
          <w:rFonts w:cstheme="minorHAnsi"/>
          <w:sz w:val="24"/>
          <w:szCs w:val="24"/>
        </w:rPr>
        <w:t xml:space="preserve"> </w:t>
      </w:r>
      <w:r w:rsidR="007C339C" w:rsidRPr="00525ACD">
        <w:rPr>
          <w:rFonts w:cstheme="minorHAnsi"/>
          <w:sz w:val="24"/>
          <w:szCs w:val="24"/>
        </w:rPr>
        <w:t>statistical process control techniques to ensure that the process</w:t>
      </w:r>
      <w:r w:rsidR="007C339C">
        <w:rPr>
          <w:rFonts w:cstheme="minorHAnsi"/>
          <w:sz w:val="24"/>
          <w:szCs w:val="24"/>
        </w:rPr>
        <w:t xml:space="preserve"> </w:t>
      </w:r>
      <w:r w:rsidR="007C339C" w:rsidRPr="00525ACD">
        <w:rPr>
          <w:rFonts w:cstheme="minorHAnsi"/>
          <w:sz w:val="24"/>
          <w:szCs w:val="24"/>
        </w:rPr>
        <w:t>remains in control.</w:t>
      </w:r>
      <w:r w:rsidR="007C339C">
        <w:rPr>
          <w:rFonts w:cstheme="minorHAnsi"/>
          <w:sz w:val="24"/>
          <w:szCs w:val="24"/>
        </w:rPr>
        <w:t xml:space="preserve"> (EDQM Blood Guide, ch. 12)</w:t>
      </w:r>
    </w:p>
    <w:p w14:paraId="6E792081" w14:textId="7CE74BD1" w:rsidR="008206A0" w:rsidRPr="006F7F8D" w:rsidRDefault="006F7F8D" w:rsidP="006F7F8D">
      <w:pPr>
        <w:rPr>
          <w:rFonts w:cstheme="minorHAnsi"/>
          <w:sz w:val="24"/>
          <w:szCs w:val="24"/>
          <w:lang w:val="en-GB"/>
        </w:rPr>
      </w:pPr>
      <w:commentRangeStart w:id="48"/>
      <w:r>
        <w:rPr>
          <w:rFonts w:cstheme="minorHAnsi"/>
          <w:sz w:val="24"/>
          <w:szCs w:val="24"/>
          <w:lang w:val="en-GB"/>
        </w:rPr>
        <w:t>For blood products, i</w:t>
      </w:r>
      <w:r w:rsidR="009449D6" w:rsidRPr="006F7F8D">
        <w:rPr>
          <w:rFonts w:cstheme="minorHAnsi"/>
          <w:sz w:val="24"/>
          <w:szCs w:val="24"/>
          <w:lang w:val="en-GB"/>
        </w:rPr>
        <w:t xml:space="preserve">t is </w:t>
      </w:r>
      <w:r w:rsidR="00C93B88" w:rsidRPr="006F7F8D">
        <w:rPr>
          <w:rFonts w:cstheme="minorHAnsi"/>
          <w:sz w:val="24"/>
          <w:szCs w:val="24"/>
          <w:lang w:val="en-GB"/>
        </w:rPr>
        <w:t>recommended</w:t>
      </w:r>
      <w:r w:rsidR="008206A0" w:rsidRPr="006F7F8D">
        <w:rPr>
          <w:rFonts w:cstheme="minorHAnsi"/>
          <w:sz w:val="24"/>
          <w:szCs w:val="24"/>
          <w:lang w:val="en-GB"/>
        </w:rPr>
        <w:t xml:space="preserve"> to perform bacterial screening: </w:t>
      </w:r>
    </w:p>
    <w:p w14:paraId="053F2FDF" w14:textId="77777777" w:rsidR="006F7F8D" w:rsidRPr="006F7F8D" w:rsidRDefault="00BC5917" w:rsidP="006F7F8D">
      <w:pPr>
        <w:pStyle w:val="ListParagraph"/>
        <w:numPr>
          <w:ilvl w:val="0"/>
          <w:numId w:val="21"/>
        </w:numPr>
        <w:rPr>
          <w:rFonts w:cstheme="minorHAnsi"/>
          <w:sz w:val="24"/>
          <w:szCs w:val="24"/>
          <w:lang w:val="en-GB"/>
        </w:rPr>
      </w:pPr>
      <w:r w:rsidRPr="006F7F8D">
        <w:rPr>
          <w:rFonts w:cstheme="minorHAnsi"/>
          <w:sz w:val="24"/>
          <w:szCs w:val="24"/>
          <w:lang w:val="en-GB"/>
        </w:rPr>
        <w:t>on 100% of platelet components;</w:t>
      </w:r>
    </w:p>
    <w:p w14:paraId="3F1C155E" w14:textId="77777777" w:rsidR="006F7F8D" w:rsidRPr="006F7F8D" w:rsidRDefault="008206A0" w:rsidP="006F7F8D">
      <w:pPr>
        <w:pStyle w:val="ListParagraph"/>
        <w:numPr>
          <w:ilvl w:val="0"/>
          <w:numId w:val="21"/>
        </w:numPr>
        <w:rPr>
          <w:rFonts w:cstheme="minorHAnsi"/>
          <w:sz w:val="24"/>
          <w:szCs w:val="24"/>
          <w:lang w:val="en-GB"/>
        </w:rPr>
      </w:pPr>
      <w:r w:rsidRPr="006F7F8D">
        <w:rPr>
          <w:rFonts w:cstheme="minorHAnsi"/>
          <w:sz w:val="24"/>
          <w:szCs w:val="24"/>
          <w:lang w:val="en-GB"/>
        </w:rPr>
        <w:t>using an increased sample volume aiming at increasing test sensitivity;</w:t>
      </w:r>
    </w:p>
    <w:p w14:paraId="75B37703" w14:textId="54AC8652" w:rsidR="006F7F8D" w:rsidRPr="006F7F8D" w:rsidRDefault="008206A0" w:rsidP="006F7F8D">
      <w:pPr>
        <w:pStyle w:val="ListParagraph"/>
        <w:numPr>
          <w:ilvl w:val="0"/>
          <w:numId w:val="21"/>
        </w:numPr>
        <w:rPr>
          <w:rFonts w:cstheme="minorHAnsi"/>
          <w:sz w:val="24"/>
          <w:szCs w:val="24"/>
          <w:lang w:val="en-GB"/>
        </w:rPr>
      </w:pPr>
      <w:r w:rsidRPr="006F7F8D">
        <w:rPr>
          <w:rFonts w:cstheme="minorHAnsi"/>
          <w:sz w:val="24"/>
          <w:szCs w:val="24"/>
          <w:lang w:val="en-GB"/>
        </w:rPr>
        <w:t>de</w:t>
      </w:r>
      <w:r w:rsidR="006F7F8D">
        <w:rPr>
          <w:rFonts w:cstheme="minorHAnsi"/>
          <w:sz w:val="24"/>
          <w:szCs w:val="24"/>
          <w:lang w:val="en-GB"/>
        </w:rPr>
        <w:t>laying sampling time at least ≥</w:t>
      </w:r>
      <w:r w:rsidRPr="006F7F8D">
        <w:rPr>
          <w:rFonts w:cstheme="minorHAnsi"/>
          <w:sz w:val="24"/>
          <w:szCs w:val="24"/>
          <w:lang w:val="en-GB"/>
        </w:rPr>
        <w:t>24h after blood donation giving time for low level contamination to grow</w:t>
      </w:r>
    </w:p>
    <w:p w14:paraId="5A190FBC" w14:textId="77777777" w:rsidR="006F7F8D" w:rsidRPr="006F7F8D" w:rsidRDefault="009C457C" w:rsidP="006F7F8D">
      <w:pPr>
        <w:pStyle w:val="ListParagraph"/>
        <w:numPr>
          <w:ilvl w:val="0"/>
          <w:numId w:val="21"/>
        </w:numPr>
        <w:rPr>
          <w:rFonts w:cstheme="minorHAnsi"/>
          <w:sz w:val="24"/>
          <w:szCs w:val="24"/>
          <w:lang w:val="en-GB"/>
        </w:rPr>
      </w:pPr>
      <w:r w:rsidRPr="006F7F8D">
        <w:rPr>
          <w:rFonts w:cstheme="minorHAnsi"/>
          <w:sz w:val="24"/>
          <w:szCs w:val="24"/>
          <w:lang w:val="en-GB"/>
        </w:rPr>
        <w:t xml:space="preserve">using </w:t>
      </w:r>
      <w:r w:rsidR="00ED53F7" w:rsidRPr="006F7F8D">
        <w:rPr>
          <w:rFonts w:cstheme="minorHAnsi"/>
          <w:sz w:val="24"/>
          <w:szCs w:val="24"/>
          <w:lang w:val="en-GB"/>
        </w:rPr>
        <w:t>a</w:t>
      </w:r>
      <w:r w:rsidRPr="006F7F8D">
        <w:rPr>
          <w:rFonts w:cstheme="minorHAnsi"/>
          <w:sz w:val="24"/>
          <w:szCs w:val="24"/>
          <w:lang w:val="en-GB"/>
        </w:rPr>
        <w:t xml:space="preserve">erobic </w:t>
      </w:r>
      <w:r w:rsidR="00ED53F7" w:rsidRPr="006F7F8D">
        <w:rPr>
          <w:rFonts w:cstheme="minorHAnsi"/>
          <w:sz w:val="24"/>
          <w:szCs w:val="24"/>
          <w:lang w:val="en-GB"/>
        </w:rPr>
        <w:t>and</w:t>
      </w:r>
      <w:r w:rsidRPr="006F7F8D">
        <w:rPr>
          <w:rFonts w:cstheme="minorHAnsi"/>
          <w:sz w:val="24"/>
          <w:szCs w:val="24"/>
          <w:lang w:val="en-GB"/>
        </w:rPr>
        <w:t xml:space="preserve"> </w:t>
      </w:r>
      <w:r w:rsidR="00ED53F7" w:rsidRPr="006F7F8D">
        <w:rPr>
          <w:rFonts w:cstheme="minorHAnsi"/>
          <w:sz w:val="24"/>
          <w:szCs w:val="24"/>
          <w:lang w:val="en-GB"/>
        </w:rPr>
        <w:t>a</w:t>
      </w:r>
      <w:r w:rsidRPr="006F7F8D">
        <w:rPr>
          <w:rFonts w:cstheme="minorHAnsi"/>
          <w:sz w:val="24"/>
          <w:szCs w:val="24"/>
          <w:lang w:val="en-GB"/>
        </w:rPr>
        <w:t>naerobic</w:t>
      </w:r>
      <w:r w:rsidR="00ED53F7" w:rsidRPr="006F7F8D">
        <w:rPr>
          <w:rFonts w:cstheme="minorHAnsi"/>
          <w:sz w:val="24"/>
          <w:szCs w:val="24"/>
          <w:lang w:val="en-GB"/>
        </w:rPr>
        <w:t xml:space="preserve"> </w:t>
      </w:r>
      <w:r w:rsidRPr="006F7F8D">
        <w:rPr>
          <w:rFonts w:cstheme="minorHAnsi"/>
          <w:sz w:val="24"/>
          <w:szCs w:val="24"/>
          <w:lang w:val="en-GB"/>
        </w:rPr>
        <w:t>media</w:t>
      </w:r>
    </w:p>
    <w:p w14:paraId="1235891A" w14:textId="2A0D44E7" w:rsidR="008206A0" w:rsidRPr="006F7F8D" w:rsidRDefault="009C457C" w:rsidP="006F7F8D">
      <w:pPr>
        <w:pStyle w:val="ListParagraph"/>
        <w:numPr>
          <w:ilvl w:val="0"/>
          <w:numId w:val="21"/>
        </w:numPr>
        <w:rPr>
          <w:rFonts w:cstheme="minorHAnsi"/>
          <w:sz w:val="24"/>
          <w:szCs w:val="24"/>
          <w:lang w:val="en-GB"/>
        </w:rPr>
      </w:pPr>
      <w:r w:rsidRPr="006F7F8D">
        <w:rPr>
          <w:rFonts w:cstheme="minorHAnsi"/>
          <w:sz w:val="24"/>
          <w:szCs w:val="24"/>
          <w:lang w:val="en-GB"/>
        </w:rPr>
        <w:t xml:space="preserve">performing routine QC test to check performances </w:t>
      </w:r>
      <w:r w:rsidR="008206A0" w:rsidRPr="006F7F8D">
        <w:rPr>
          <w:rFonts w:cstheme="minorHAnsi"/>
          <w:sz w:val="24"/>
          <w:szCs w:val="24"/>
          <w:lang w:val="en-GB"/>
        </w:rPr>
        <w:t xml:space="preserve"> of the method in use (WHO / PEI platelet contamination reference strains)</w:t>
      </w:r>
      <w:commentRangeEnd w:id="48"/>
      <w:r w:rsidR="00526587">
        <w:rPr>
          <w:rStyle w:val="CommentReference"/>
        </w:rPr>
        <w:commentReference w:id="48"/>
      </w:r>
    </w:p>
    <w:p w14:paraId="58448354" w14:textId="0C5476A5" w:rsidR="008206A0" w:rsidRDefault="008206A0" w:rsidP="0020542A">
      <w:pPr>
        <w:rPr>
          <w:rFonts w:cstheme="minorHAnsi"/>
          <w:sz w:val="24"/>
          <w:szCs w:val="24"/>
          <w:lang w:val="en-GB"/>
        </w:rPr>
      </w:pPr>
    </w:p>
    <w:p w14:paraId="1F586006" w14:textId="1E8DB7F1" w:rsidR="0020542A" w:rsidRPr="005E42D4" w:rsidRDefault="005E42D4" w:rsidP="005E42D4">
      <w:pPr>
        <w:pStyle w:val="Heading3"/>
        <w:rPr>
          <w:lang w:val="en-GB"/>
        </w:rPr>
      </w:pPr>
      <w:bookmarkStart w:id="49" w:name="_Toc41427182"/>
      <w:r>
        <w:rPr>
          <w:lang w:val="en-GB"/>
        </w:rPr>
        <w:lastRenderedPageBreak/>
        <w:t>6.2.2</w:t>
      </w:r>
      <w:r w:rsidR="000155CA">
        <w:rPr>
          <w:lang w:val="en-GB"/>
        </w:rPr>
        <w:t>.</w:t>
      </w:r>
      <w:r>
        <w:rPr>
          <w:lang w:val="en-GB"/>
        </w:rPr>
        <w:t xml:space="preserve"> </w:t>
      </w:r>
      <w:r w:rsidR="006F7F8D">
        <w:t>BTC with processing in open systems</w:t>
      </w:r>
      <w:bookmarkEnd w:id="49"/>
    </w:p>
    <w:p w14:paraId="365A2E98" w14:textId="35006C69" w:rsidR="008B38F6" w:rsidRDefault="008B38F6" w:rsidP="000C3B0B">
      <w:pPr>
        <w:jc w:val="both"/>
        <w:rPr>
          <w:rFonts w:cstheme="minorHAnsi"/>
          <w:sz w:val="24"/>
          <w:szCs w:val="24"/>
          <w:lang w:val="en-GB"/>
        </w:rPr>
      </w:pPr>
      <w:r w:rsidRPr="008B38F6">
        <w:rPr>
          <w:rFonts w:cstheme="minorHAnsi"/>
          <w:sz w:val="24"/>
          <w:szCs w:val="24"/>
          <w:lang w:val="en-GB"/>
        </w:rPr>
        <w:t xml:space="preserve">Most tissues and cells, including </w:t>
      </w:r>
      <w:r>
        <w:rPr>
          <w:rFonts w:cstheme="minorHAnsi"/>
          <w:sz w:val="24"/>
          <w:szCs w:val="24"/>
          <w:lang w:val="en-GB"/>
        </w:rPr>
        <w:t>those for which pathogen reduction has been applied to</w:t>
      </w:r>
      <w:r w:rsidRPr="008B38F6">
        <w:rPr>
          <w:rFonts w:cstheme="minorHAnsi"/>
          <w:sz w:val="24"/>
          <w:szCs w:val="24"/>
          <w:lang w:val="en-GB"/>
        </w:rPr>
        <w:t>, are exposed</w:t>
      </w:r>
      <w:r>
        <w:rPr>
          <w:rFonts w:cstheme="minorHAnsi"/>
          <w:sz w:val="24"/>
          <w:szCs w:val="24"/>
          <w:lang w:val="en-GB"/>
        </w:rPr>
        <w:t xml:space="preserve"> </w:t>
      </w:r>
      <w:r w:rsidRPr="008B38F6">
        <w:rPr>
          <w:rFonts w:cstheme="minorHAnsi"/>
          <w:sz w:val="24"/>
          <w:szCs w:val="24"/>
          <w:lang w:val="en-GB"/>
        </w:rPr>
        <w:t>to the environment at certain processing stages</w:t>
      </w:r>
      <w:r>
        <w:rPr>
          <w:rFonts w:cstheme="minorHAnsi"/>
          <w:sz w:val="24"/>
          <w:szCs w:val="24"/>
          <w:lang w:val="en-GB"/>
        </w:rPr>
        <w:t xml:space="preserve"> </w:t>
      </w:r>
      <w:r w:rsidRPr="008B38F6">
        <w:rPr>
          <w:rFonts w:cstheme="minorHAnsi"/>
          <w:sz w:val="24"/>
          <w:szCs w:val="24"/>
          <w:lang w:val="en-GB"/>
        </w:rPr>
        <w:t>between procurement and packaging.</w:t>
      </w:r>
      <w:r w:rsidR="000C3B0B">
        <w:rPr>
          <w:rFonts w:cstheme="minorHAnsi"/>
          <w:sz w:val="24"/>
          <w:szCs w:val="24"/>
          <w:lang w:val="en-GB"/>
        </w:rPr>
        <w:t xml:space="preserve"> If</w:t>
      </w:r>
      <w:r w:rsidR="000C3B0B" w:rsidRPr="000C3B0B">
        <w:rPr>
          <w:rFonts w:cstheme="minorHAnsi"/>
          <w:sz w:val="24"/>
          <w:szCs w:val="24"/>
          <w:lang w:val="en-GB"/>
        </w:rPr>
        <w:t xml:space="preserve"> terminal</w:t>
      </w:r>
      <w:r w:rsidR="000C3B0B">
        <w:rPr>
          <w:rFonts w:cstheme="minorHAnsi"/>
          <w:sz w:val="24"/>
          <w:szCs w:val="24"/>
          <w:lang w:val="en-GB"/>
        </w:rPr>
        <w:t xml:space="preserve"> </w:t>
      </w:r>
      <w:r w:rsidR="000C3B0B" w:rsidRPr="000C3B0B">
        <w:rPr>
          <w:rFonts w:cstheme="minorHAnsi"/>
          <w:sz w:val="24"/>
          <w:szCs w:val="24"/>
          <w:lang w:val="en-GB"/>
        </w:rPr>
        <w:t>sterilisation</w:t>
      </w:r>
      <w:r w:rsidR="000C3B0B">
        <w:rPr>
          <w:rFonts w:cstheme="minorHAnsi"/>
          <w:sz w:val="24"/>
          <w:szCs w:val="24"/>
          <w:lang w:val="en-GB"/>
        </w:rPr>
        <w:t xml:space="preserve"> cannot be used</w:t>
      </w:r>
      <w:r w:rsidR="000C3B0B" w:rsidRPr="000C3B0B">
        <w:rPr>
          <w:rFonts w:cstheme="minorHAnsi"/>
          <w:sz w:val="24"/>
          <w:szCs w:val="24"/>
          <w:lang w:val="en-GB"/>
        </w:rPr>
        <w:t>, the contamination</w:t>
      </w:r>
      <w:r w:rsidR="000C3B0B">
        <w:rPr>
          <w:rFonts w:cstheme="minorHAnsi"/>
          <w:sz w:val="24"/>
          <w:szCs w:val="24"/>
          <w:lang w:val="en-GB"/>
        </w:rPr>
        <w:t xml:space="preserve"> </w:t>
      </w:r>
      <w:r w:rsidR="000C3B0B" w:rsidRPr="000C3B0B">
        <w:rPr>
          <w:rFonts w:cstheme="minorHAnsi"/>
          <w:sz w:val="24"/>
          <w:szCs w:val="24"/>
          <w:lang w:val="en-GB"/>
        </w:rPr>
        <w:t>risk during open processing must be avoided</w:t>
      </w:r>
      <w:r w:rsidR="000C3B0B">
        <w:rPr>
          <w:rFonts w:cstheme="minorHAnsi"/>
          <w:sz w:val="24"/>
          <w:szCs w:val="24"/>
          <w:lang w:val="en-GB"/>
        </w:rPr>
        <w:t xml:space="preserve"> </w:t>
      </w:r>
      <w:r w:rsidR="000C3B0B" w:rsidRPr="000C3B0B">
        <w:rPr>
          <w:rFonts w:cstheme="minorHAnsi"/>
          <w:sz w:val="24"/>
          <w:szCs w:val="24"/>
          <w:lang w:val="en-GB"/>
        </w:rPr>
        <w:t>to the greatest possible extent. The requirements for</w:t>
      </w:r>
      <w:r w:rsidR="000C3B0B">
        <w:rPr>
          <w:rFonts w:cstheme="minorHAnsi"/>
          <w:sz w:val="24"/>
          <w:szCs w:val="24"/>
          <w:lang w:val="en-GB"/>
        </w:rPr>
        <w:t xml:space="preserve"> </w:t>
      </w:r>
      <w:r w:rsidR="000C3B0B" w:rsidRPr="000C3B0B">
        <w:rPr>
          <w:rFonts w:cstheme="minorHAnsi"/>
          <w:sz w:val="24"/>
          <w:szCs w:val="24"/>
          <w:lang w:val="en-GB"/>
        </w:rPr>
        <w:t>microbiological sampling and testing are expected</w:t>
      </w:r>
      <w:r w:rsidR="000C3B0B">
        <w:rPr>
          <w:rFonts w:cstheme="minorHAnsi"/>
          <w:sz w:val="24"/>
          <w:szCs w:val="24"/>
          <w:lang w:val="en-GB"/>
        </w:rPr>
        <w:t xml:space="preserve"> </w:t>
      </w:r>
      <w:r w:rsidR="000C3B0B" w:rsidRPr="000C3B0B">
        <w:rPr>
          <w:rFonts w:cstheme="minorHAnsi"/>
          <w:sz w:val="24"/>
          <w:szCs w:val="24"/>
          <w:lang w:val="en-GB"/>
        </w:rPr>
        <w:t>to be most stringent in these situations</w:t>
      </w:r>
      <w:r w:rsidR="000C3B0B">
        <w:rPr>
          <w:rFonts w:cstheme="minorHAnsi"/>
          <w:sz w:val="24"/>
          <w:szCs w:val="24"/>
          <w:lang w:val="en-GB"/>
        </w:rPr>
        <w:t xml:space="preserve"> (EDQM T&amp;C Guide 10.3.5.4).</w:t>
      </w:r>
    </w:p>
    <w:p w14:paraId="682A4B2E" w14:textId="471B555C" w:rsidR="0020542A" w:rsidRDefault="00C3460C" w:rsidP="00C3460C">
      <w:pPr>
        <w:jc w:val="both"/>
        <w:rPr>
          <w:rFonts w:cstheme="minorHAnsi"/>
          <w:sz w:val="24"/>
          <w:szCs w:val="24"/>
          <w:lang w:val="en-GB"/>
        </w:rPr>
      </w:pPr>
      <w:r>
        <w:rPr>
          <w:rFonts w:cstheme="minorHAnsi"/>
          <w:sz w:val="24"/>
          <w:szCs w:val="24"/>
          <w:lang w:val="en-GB"/>
        </w:rPr>
        <w:t>S</w:t>
      </w:r>
      <w:r w:rsidRPr="00C3460C">
        <w:rPr>
          <w:rFonts w:cstheme="minorHAnsi"/>
          <w:sz w:val="24"/>
          <w:szCs w:val="24"/>
          <w:lang w:val="en-GB"/>
        </w:rPr>
        <w:t>ampling and microbiological</w:t>
      </w:r>
      <w:r>
        <w:rPr>
          <w:rFonts w:cstheme="minorHAnsi"/>
          <w:sz w:val="24"/>
          <w:szCs w:val="24"/>
          <w:lang w:val="en-GB"/>
        </w:rPr>
        <w:t xml:space="preserve"> a</w:t>
      </w:r>
      <w:r w:rsidRPr="00C3460C">
        <w:rPr>
          <w:rFonts w:cstheme="minorHAnsi"/>
          <w:sz w:val="24"/>
          <w:szCs w:val="24"/>
          <w:lang w:val="en-GB"/>
        </w:rPr>
        <w:t>ssessment should include the starting material, the</w:t>
      </w:r>
      <w:r>
        <w:rPr>
          <w:rFonts w:cstheme="minorHAnsi"/>
          <w:sz w:val="24"/>
          <w:szCs w:val="24"/>
          <w:lang w:val="en-GB"/>
        </w:rPr>
        <w:t xml:space="preserve"> </w:t>
      </w:r>
      <w:r w:rsidRPr="00C3460C">
        <w:rPr>
          <w:rFonts w:cstheme="minorHAnsi"/>
          <w:sz w:val="24"/>
          <w:szCs w:val="24"/>
          <w:lang w:val="en-GB"/>
        </w:rPr>
        <w:t>transport solution and any solutions used to wash</w:t>
      </w:r>
      <w:r>
        <w:rPr>
          <w:rFonts w:cstheme="minorHAnsi"/>
          <w:sz w:val="24"/>
          <w:szCs w:val="24"/>
          <w:lang w:val="en-GB"/>
        </w:rPr>
        <w:t xml:space="preserve"> BTC</w:t>
      </w:r>
      <w:r w:rsidR="00C05D89">
        <w:rPr>
          <w:rFonts w:cstheme="minorHAnsi"/>
          <w:sz w:val="24"/>
          <w:szCs w:val="24"/>
          <w:lang w:val="en-GB"/>
        </w:rPr>
        <w:t xml:space="preserve"> </w:t>
      </w:r>
      <w:r w:rsidR="0020542A">
        <w:rPr>
          <w:rFonts w:cstheme="minorHAnsi"/>
          <w:sz w:val="24"/>
          <w:szCs w:val="24"/>
          <w:lang w:val="en-GB"/>
        </w:rPr>
        <w:t>(</w:t>
      </w:r>
      <w:r w:rsidR="00503AED">
        <w:rPr>
          <w:rFonts w:cstheme="minorHAnsi"/>
          <w:sz w:val="24"/>
          <w:szCs w:val="24"/>
          <w:lang w:val="en-GB"/>
        </w:rPr>
        <w:t>EDQM T&amp;C Guide, 10.3.5.4</w:t>
      </w:r>
      <w:r w:rsidR="0020542A">
        <w:rPr>
          <w:rFonts w:cstheme="minorHAnsi"/>
          <w:sz w:val="24"/>
          <w:szCs w:val="24"/>
          <w:lang w:val="en-GB"/>
        </w:rPr>
        <w:t>)</w:t>
      </w:r>
      <w:r w:rsidR="00503AED">
        <w:rPr>
          <w:rFonts w:cstheme="minorHAnsi"/>
          <w:sz w:val="24"/>
          <w:szCs w:val="24"/>
          <w:lang w:val="en-GB"/>
        </w:rPr>
        <w:t>.</w:t>
      </w:r>
    </w:p>
    <w:p w14:paraId="11FC57FD" w14:textId="71B77421" w:rsidR="0096340C" w:rsidRDefault="0096340C" w:rsidP="00720ACB">
      <w:pPr>
        <w:jc w:val="both"/>
        <w:rPr>
          <w:rFonts w:cstheme="minorHAnsi"/>
          <w:sz w:val="24"/>
          <w:szCs w:val="24"/>
        </w:rPr>
      </w:pPr>
      <w:r>
        <w:rPr>
          <w:rFonts w:cstheme="minorHAnsi"/>
          <w:sz w:val="24"/>
          <w:szCs w:val="24"/>
        </w:rPr>
        <w:t xml:space="preserve">Microbiological testing of tissues and cells should be performed according to </w:t>
      </w:r>
      <w:r w:rsidR="00096B63">
        <w:rPr>
          <w:rFonts w:cstheme="minorHAnsi"/>
          <w:sz w:val="24"/>
          <w:szCs w:val="24"/>
        </w:rPr>
        <w:t xml:space="preserve">the </w:t>
      </w:r>
      <w:r w:rsidR="00061B01">
        <w:rPr>
          <w:rFonts w:cstheme="minorHAnsi"/>
          <w:sz w:val="24"/>
          <w:szCs w:val="24"/>
        </w:rPr>
        <w:t xml:space="preserve">tissue-specific requirements in </w:t>
      </w:r>
      <w:r w:rsidR="00096B63">
        <w:rPr>
          <w:rFonts w:cstheme="minorHAnsi"/>
          <w:sz w:val="24"/>
          <w:szCs w:val="24"/>
        </w:rPr>
        <w:t>Part B</w:t>
      </w:r>
      <w:r>
        <w:rPr>
          <w:rFonts w:cstheme="minorHAnsi"/>
          <w:sz w:val="24"/>
          <w:szCs w:val="24"/>
        </w:rPr>
        <w:t xml:space="preserve"> of EDQM T&amp;C Guide</w:t>
      </w:r>
      <w:r w:rsidR="00061B01">
        <w:rPr>
          <w:rFonts w:cstheme="minorHAnsi"/>
          <w:sz w:val="24"/>
          <w:szCs w:val="24"/>
        </w:rPr>
        <w:t xml:space="preserve"> and general criteria </w:t>
      </w:r>
      <w:r w:rsidR="00061B01" w:rsidRPr="008206A0">
        <w:rPr>
          <w:rFonts w:cstheme="minorHAnsi"/>
          <w:sz w:val="24"/>
          <w:szCs w:val="24"/>
          <w:lang w:val="en-GB"/>
        </w:rPr>
        <w:t xml:space="preserve">described </w:t>
      </w:r>
      <w:r w:rsidR="00061B01">
        <w:rPr>
          <w:rFonts w:cstheme="minorHAnsi"/>
          <w:sz w:val="24"/>
          <w:szCs w:val="24"/>
        </w:rPr>
        <w:t>in chapter 10.3</w:t>
      </w:r>
      <w:r>
        <w:rPr>
          <w:rFonts w:cstheme="minorHAnsi"/>
          <w:sz w:val="24"/>
          <w:szCs w:val="24"/>
        </w:rPr>
        <w:t>.</w:t>
      </w:r>
      <w:r w:rsidR="00720ACB">
        <w:rPr>
          <w:rFonts w:cstheme="minorHAnsi"/>
          <w:sz w:val="24"/>
          <w:szCs w:val="24"/>
        </w:rPr>
        <w:t xml:space="preserve"> Tissue-specific requirements describe the </w:t>
      </w:r>
      <w:r w:rsidR="00720ACB" w:rsidRPr="00720ACB">
        <w:rPr>
          <w:rFonts w:cstheme="minorHAnsi"/>
          <w:sz w:val="24"/>
          <w:szCs w:val="24"/>
        </w:rPr>
        <w:t>minimum standards</w:t>
      </w:r>
      <w:r w:rsidR="00720ACB">
        <w:rPr>
          <w:rFonts w:cstheme="minorHAnsi"/>
          <w:sz w:val="24"/>
          <w:szCs w:val="24"/>
        </w:rPr>
        <w:t xml:space="preserve"> </w:t>
      </w:r>
      <w:r w:rsidR="00720ACB" w:rsidRPr="00720ACB">
        <w:rPr>
          <w:rFonts w:cstheme="minorHAnsi"/>
          <w:sz w:val="24"/>
          <w:szCs w:val="24"/>
        </w:rPr>
        <w:t>to control microbiological safety</w:t>
      </w:r>
      <w:r w:rsidR="00720ACB">
        <w:rPr>
          <w:rFonts w:cstheme="minorHAnsi"/>
          <w:sz w:val="24"/>
          <w:szCs w:val="24"/>
        </w:rPr>
        <w:t xml:space="preserve"> of each BTC type and m</w:t>
      </w:r>
      <w:r w:rsidR="00720ACB" w:rsidRPr="00720ACB">
        <w:rPr>
          <w:rFonts w:cstheme="minorHAnsi"/>
          <w:sz w:val="24"/>
          <w:szCs w:val="24"/>
        </w:rPr>
        <w:t>icrobial contaminants that should result in</w:t>
      </w:r>
      <w:r w:rsidR="00720ACB">
        <w:rPr>
          <w:rFonts w:cstheme="minorHAnsi"/>
          <w:sz w:val="24"/>
          <w:szCs w:val="24"/>
        </w:rPr>
        <w:t xml:space="preserve"> BTC</w:t>
      </w:r>
      <w:r w:rsidR="00720ACB" w:rsidRPr="00720ACB">
        <w:rPr>
          <w:rFonts w:cstheme="minorHAnsi"/>
          <w:sz w:val="24"/>
          <w:szCs w:val="24"/>
        </w:rPr>
        <w:t xml:space="preserve"> discard</w:t>
      </w:r>
      <w:r w:rsidR="00720ACB">
        <w:rPr>
          <w:rFonts w:cstheme="minorHAnsi"/>
          <w:sz w:val="24"/>
          <w:szCs w:val="24"/>
        </w:rPr>
        <w:t>, if applicable.</w:t>
      </w:r>
    </w:p>
    <w:p w14:paraId="2631BE2F" w14:textId="77777777" w:rsidR="0096340C" w:rsidRPr="0096340C" w:rsidRDefault="0096340C" w:rsidP="008A5154">
      <w:pPr>
        <w:jc w:val="both"/>
        <w:rPr>
          <w:rFonts w:cstheme="minorHAnsi"/>
          <w:sz w:val="24"/>
          <w:szCs w:val="24"/>
        </w:rPr>
      </w:pPr>
    </w:p>
    <w:p w14:paraId="25A49905" w14:textId="77777777" w:rsidR="001C3BE3" w:rsidRPr="003579AE" w:rsidRDefault="001C3BE3" w:rsidP="001C3BE3">
      <w:pPr>
        <w:rPr>
          <w:sz w:val="24"/>
          <w:szCs w:val="24"/>
        </w:rPr>
      </w:pPr>
    </w:p>
    <w:p w14:paraId="24D08BCA" w14:textId="10AA7780" w:rsidR="00453FF5" w:rsidRPr="0097577C" w:rsidRDefault="00453FF5" w:rsidP="009A297D">
      <w:pPr>
        <w:pStyle w:val="Heading1"/>
        <w:numPr>
          <w:ilvl w:val="0"/>
          <w:numId w:val="13"/>
        </w:numPr>
        <w:jc w:val="both"/>
      </w:pPr>
      <w:bookmarkStart w:id="50" w:name="_Toc41427183"/>
      <w:r w:rsidRPr="0097577C">
        <w:t>Final considerations</w:t>
      </w:r>
      <w:bookmarkEnd w:id="50"/>
    </w:p>
    <w:p w14:paraId="4FF5F9B1" w14:textId="19F0E694" w:rsidR="00453FF5" w:rsidRDefault="00ED6560">
      <w:pPr>
        <w:rPr>
          <w:rFonts w:cstheme="minorHAnsi"/>
          <w:sz w:val="24"/>
          <w:szCs w:val="24"/>
        </w:rPr>
      </w:pPr>
      <w:r>
        <w:rPr>
          <w:rFonts w:cstheme="minorHAnsi"/>
          <w:sz w:val="24"/>
          <w:szCs w:val="24"/>
        </w:rPr>
        <w:t>(To be drafted later</w:t>
      </w:r>
      <w:r w:rsidR="009E75AC">
        <w:rPr>
          <w:rFonts w:cstheme="minorHAnsi"/>
          <w:sz w:val="24"/>
          <w:szCs w:val="24"/>
        </w:rPr>
        <w:t>, if needed</w:t>
      </w:r>
      <w:r>
        <w:rPr>
          <w:rFonts w:cstheme="minorHAnsi"/>
          <w:sz w:val="24"/>
          <w:szCs w:val="24"/>
        </w:rPr>
        <w:t>)</w:t>
      </w:r>
    </w:p>
    <w:p w14:paraId="1E09EC58" w14:textId="77777777" w:rsidR="00453FF5" w:rsidRDefault="00453FF5">
      <w:pPr>
        <w:rPr>
          <w:rFonts w:asciiTheme="majorHAnsi" w:eastAsiaTheme="majorEastAsia" w:hAnsiTheme="majorHAnsi" w:cstheme="majorBidi"/>
          <w:color w:val="262626" w:themeColor="text1" w:themeTint="D9"/>
          <w:sz w:val="40"/>
          <w:szCs w:val="40"/>
        </w:rPr>
      </w:pPr>
      <w:r>
        <w:br w:type="page"/>
      </w:r>
    </w:p>
    <w:p w14:paraId="480146B5" w14:textId="4325D930" w:rsidR="00144E2D" w:rsidRPr="00E14801" w:rsidRDefault="00144E2D" w:rsidP="006F3CC6">
      <w:pPr>
        <w:pStyle w:val="Heading1"/>
      </w:pPr>
      <w:bookmarkStart w:id="51" w:name="_Toc41427184"/>
      <w:commentRangeStart w:id="52"/>
      <w:r w:rsidRPr="00E14801">
        <w:lastRenderedPageBreak/>
        <w:t>Bibliography</w:t>
      </w:r>
      <w:commentRangeEnd w:id="52"/>
      <w:r w:rsidR="00E7024D">
        <w:rPr>
          <w:rStyle w:val="CommentReference"/>
          <w:rFonts w:asciiTheme="minorHAnsi" w:eastAsiaTheme="minorEastAsia" w:hAnsiTheme="minorHAnsi" w:cstheme="minorBidi"/>
          <w:color w:val="auto"/>
        </w:rPr>
        <w:commentReference w:id="52"/>
      </w:r>
      <w:bookmarkEnd w:id="51"/>
    </w:p>
    <w:p w14:paraId="40022220" w14:textId="77777777" w:rsidR="00314F36" w:rsidRDefault="00314F36" w:rsidP="009A297D">
      <w:pPr>
        <w:pStyle w:val="ListParagraph"/>
        <w:numPr>
          <w:ilvl w:val="0"/>
          <w:numId w:val="4"/>
        </w:numPr>
        <w:spacing w:after="0" w:line="360" w:lineRule="auto"/>
        <w:rPr>
          <w:rFonts w:cstheme="minorHAnsi"/>
          <w:sz w:val="24"/>
          <w:szCs w:val="24"/>
        </w:rPr>
      </w:pPr>
      <w:r w:rsidRPr="00BC0239">
        <w:rPr>
          <w:rFonts w:cstheme="minorHAnsi"/>
          <w:sz w:val="24"/>
          <w:szCs w:val="24"/>
        </w:rPr>
        <w:t>Gallagher LM et al. (2013): Advancing risk assessment for emerging infectious diseases for blood and blood products: proceedings of a public workshop. Transfusion 53: 455-463.</w:t>
      </w:r>
    </w:p>
    <w:p w14:paraId="6963E759" w14:textId="549A58C9" w:rsidR="00314F36" w:rsidRPr="00314F36" w:rsidRDefault="00314F36" w:rsidP="009A297D">
      <w:pPr>
        <w:pStyle w:val="ListParagraph"/>
        <w:numPr>
          <w:ilvl w:val="0"/>
          <w:numId w:val="4"/>
        </w:numPr>
        <w:spacing w:after="0" w:line="360" w:lineRule="auto"/>
        <w:rPr>
          <w:rFonts w:cstheme="minorHAnsi"/>
          <w:sz w:val="24"/>
          <w:szCs w:val="24"/>
        </w:rPr>
      </w:pPr>
      <w:r w:rsidRPr="00314F36">
        <w:rPr>
          <w:rFonts w:cstheme="minorHAnsi"/>
          <w:sz w:val="24"/>
          <w:szCs w:val="24"/>
        </w:rPr>
        <w:t>Directive 2002/98/EC of the European Parliament and of the Council as regards certain technical requirements for blood and blood components. (2002).</w:t>
      </w:r>
    </w:p>
    <w:p w14:paraId="76BC08CC" w14:textId="77777777" w:rsidR="003707CF" w:rsidRPr="00314F36" w:rsidRDefault="003707CF" w:rsidP="009A297D">
      <w:pPr>
        <w:pStyle w:val="ListParagraph"/>
        <w:numPr>
          <w:ilvl w:val="0"/>
          <w:numId w:val="4"/>
        </w:numPr>
        <w:spacing w:after="0" w:line="360" w:lineRule="auto"/>
        <w:rPr>
          <w:rFonts w:cstheme="minorHAnsi"/>
          <w:sz w:val="24"/>
          <w:szCs w:val="24"/>
        </w:rPr>
      </w:pPr>
      <w:r w:rsidRPr="00314F36">
        <w:rPr>
          <w:rFonts w:cstheme="minorHAnsi"/>
          <w:sz w:val="24"/>
          <w:szCs w:val="24"/>
        </w:rPr>
        <w:t>Commission Directive 2004/33/EC implementing Directive 2002/98/EC of the European Parliament and of the Council as regards certain technical requirements for blood and blood components. (2004).</w:t>
      </w:r>
    </w:p>
    <w:p w14:paraId="26AA5EE4" w14:textId="77777777" w:rsidR="003707CF" w:rsidRPr="00314F36" w:rsidRDefault="003707CF" w:rsidP="009A297D">
      <w:pPr>
        <w:pStyle w:val="ListParagraph"/>
        <w:numPr>
          <w:ilvl w:val="0"/>
          <w:numId w:val="4"/>
        </w:numPr>
        <w:spacing w:after="0" w:line="360" w:lineRule="auto"/>
        <w:rPr>
          <w:rFonts w:cstheme="minorHAnsi"/>
          <w:sz w:val="24"/>
          <w:szCs w:val="24"/>
        </w:rPr>
      </w:pPr>
      <w:r w:rsidRPr="00314F36">
        <w:rPr>
          <w:rFonts w:cstheme="minorHAnsi"/>
          <w:sz w:val="24"/>
          <w:szCs w:val="24"/>
        </w:rPr>
        <w:t>Commission Directive 2005/61/EC implementing Directive 2002/98/EC of the European Parliament and of the Council as regards traceability requirements and notification of serious adverse reactions and events. (2005).</w:t>
      </w:r>
    </w:p>
    <w:p w14:paraId="71071024" w14:textId="77777777" w:rsidR="003707CF" w:rsidRPr="00314F36" w:rsidRDefault="003707CF" w:rsidP="009A297D">
      <w:pPr>
        <w:pStyle w:val="ListParagraph"/>
        <w:numPr>
          <w:ilvl w:val="0"/>
          <w:numId w:val="4"/>
        </w:numPr>
        <w:spacing w:after="0" w:line="360" w:lineRule="auto"/>
        <w:rPr>
          <w:rFonts w:cstheme="minorHAnsi"/>
          <w:sz w:val="24"/>
          <w:szCs w:val="24"/>
        </w:rPr>
      </w:pPr>
      <w:r w:rsidRPr="00314F36">
        <w:rPr>
          <w:rFonts w:cstheme="minorHAnsi"/>
          <w:sz w:val="24"/>
          <w:szCs w:val="24"/>
        </w:rPr>
        <w:t>Commission Directive 2005/62/EC implementing Directive 2002/98/EC of the European Parliament and of the Council as regards Community standards and specifications relating to a quality system for blood establishments. (2005).</w:t>
      </w:r>
    </w:p>
    <w:p w14:paraId="38AF37CB" w14:textId="77777777" w:rsidR="00314F36" w:rsidRPr="00314F36" w:rsidRDefault="00314F36" w:rsidP="009A297D">
      <w:pPr>
        <w:pStyle w:val="ListParagraph"/>
        <w:numPr>
          <w:ilvl w:val="0"/>
          <w:numId w:val="4"/>
        </w:numPr>
        <w:spacing w:after="0" w:line="360" w:lineRule="auto"/>
        <w:rPr>
          <w:rFonts w:cstheme="minorHAnsi"/>
          <w:sz w:val="24"/>
          <w:szCs w:val="24"/>
        </w:rPr>
      </w:pPr>
      <w:r w:rsidRPr="00314F36">
        <w:rPr>
          <w:rFonts w:cstheme="minorHAnsi"/>
          <w:sz w:val="24"/>
          <w:szCs w:val="24"/>
        </w:rPr>
        <w:t>Directive 2004/23/EC of the European Parliament and of the Council of 31 March 2004 on setting standards of quality and safety for the donation, procurement, testing, processing, preservation, storage and distribution of human tissues and cells. (2004)</w:t>
      </w:r>
    </w:p>
    <w:p w14:paraId="34FC4741" w14:textId="77777777" w:rsidR="00314F36" w:rsidRPr="00314F36" w:rsidRDefault="00314F36" w:rsidP="009A297D">
      <w:pPr>
        <w:pStyle w:val="ListParagraph"/>
        <w:numPr>
          <w:ilvl w:val="0"/>
          <w:numId w:val="4"/>
        </w:numPr>
        <w:spacing w:after="0" w:line="360" w:lineRule="auto"/>
        <w:rPr>
          <w:rFonts w:cstheme="minorHAnsi"/>
          <w:sz w:val="24"/>
          <w:szCs w:val="24"/>
        </w:rPr>
      </w:pPr>
      <w:r w:rsidRPr="00314F36">
        <w:rPr>
          <w:rFonts w:cstheme="minorHAnsi"/>
          <w:sz w:val="24"/>
          <w:szCs w:val="24"/>
        </w:rPr>
        <w:t>Commission Directive 2006/86/EC of 24 October 2006, implementing Directive 2004/23/EC of the European Parliament and of the Council as regards traceability requirements, notification of serious adverse reactions and events and certain technical requirements. (2006).</w:t>
      </w:r>
    </w:p>
    <w:p w14:paraId="7B83C94E" w14:textId="1BEC4300" w:rsidR="00314F36" w:rsidRDefault="00314F36" w:rsidP="009A297D">
      <w:pPr>
        <w:pStyle w:val="ListParagraph"/>
        <w:numPr>
          <w:ilvl w:val="0"/>
          <w:numId w:val="4"/>
        </w:numPr>
        <w:spacing w:after="0" w:line="360" w:lineRule="auto"/>
        <w:rPr>
          <w:rFonts w:cstheme="minorHAnsi"/>
          <w:sz w:val="24"/>
          <w:szCs w:val="24"/>
        </w:rPr>
      </w:pPr>
      <w:r w:rsidRPr="00314F36">
        <w:rPr>
          <w:rFonts w:cstheme="minorHAnsi"/>
          <w:sz w:val="24"/>
          <w:szCs w:val="24"/>
        </w:rPr>
        <w:t>Commission Directive 2006/17/EC, implementing Directive 2004/23/EC of the European Parliament and of the Council as regards certain technical requirements for the donation, procurement and testing of human tissues and cells. (2006).</w:t>
      </w:r>
    </w:p>
    <w:p w14:paraId="0739532E" w14:textId="65E41EF0" w:rsidR="00144E2D" w:rsidRDefault="00144E2D" w:rsidP="009A297D">
      <w:pPr>
        <w:pStyle w:val="ListParagraph"/>
        <w:numPr>
          <w:ilvl w:val="0"/>
          <w:numId w:val="4"/>
        </w:numPr>
        <w:spacing w:after="0" w:line="360" w:lineRule="auto"/>
        <w:rPr>
          <w:rFonts w:cstheme="minorHAnsi"/>
          <w:sz w:val="24"/>
          <w:szCs w:val="24"/>
        </w:rPr>
      </w:pPr>
      <w:r w:rsidRPr="00144E2D">
        <w:rPr>
          <w:rFonts w:cstheme="minorHAnsi"/>
          <w:sz w:val="24"/>
          <w:szCs w:val="24"/>
        </w:rPr>
        <w:t>DIRECTIVE 2002/98/EC OF THE EUROPEAN PARLIAMENT AND OF THE COUNCIL of 27 January 2003 setting standards of quality and safety for the collection, testing, processing, storage and distribution of human blood and blood components and amending Directive 2001/83/EC</w:t>
      </w:r>
    </w:p>
    <w:p w14:paraId="17207A0D" w14:textId="77777777" w:rsidR="00144E2D" w:rsidRDefault="00144E2D" w:rsidP="009A297D">
      <w:pPr>
        <w:pStyle w:val="ListParagraph"/>
        <w:numPr>
          <w:ilvl w:val="0"/>
          <w:numId w:val="4"/>
        </w:numPr>
        <w:spacing w:after="0" w:line="360" w:lineRule="auto"/>
        <w:rPr>
          <w:rFonts w:cstheme="minorHAnsi"/>
          <w:sz w:val="24"/>
          <w:szCs w:val="24"/>
        </w:rPr>
      </w:pPr>
      <w:r w:rsidRPr="00144E2D">
        <w:rPr>
          <w:rFonts w:cstheme="minorHAnsi"/>
          <w:sz w:val="24"/>
          <w:szCs w:val="24"/>
        </w:rPr>
        <w:lastRenderedPageBreak/>
        <w:t>Directive 2004/23/EC of the European Parliament and of the Council of 31 March 2004 on setting standards of quality and safety for the donation, procurement, testing, processing, preservation, storage and distribution of human tissues and cells. (2004).</w:t>
      </w:r>
    </w:p>
    <w:p w14:paraId="3884055C" w14:textId="523B5641" w:rsidR="00144E2D" w:rsidRDefault="00A51A32" w:rsidP="009A297D">
      <w:pPr>
        <w:pStyle w:val="ListParagraph"/>
        <w:numPr>
          <w:ilvl w:val="0"/>
          <w:numId w:val="4"/>
        </w:numPr>
        <w:spacing w:after="0" w:line="360" w:lineRule="auto"/>
        <w:rPr>
          <w:rFonts w:cstheme="minorHAnsi"/>
          <w:sz w:val="24"/>
          <w:szCs w:val="24"/>
        </w:rPr>
      </w:pPr>
      <w:r>
        <w:rPr>
          <w:rFonts w:cstheme="minorHAnsi"/>
          <w:sz w:val="24"/>
          <w:szCs w:val="24"/>
        </w:rPr>
        <w:t>WHO TTI guidelines 2009</w:t>
      </w:r>
      <w:r w:rsidR="00144E2D" w:rsidRPr="00144E2D">
        <w:rPr>
          <w:rFonts w:cstheme="minorHAnsi"/>
          <w:sz w:val="24"/>
          <w:szCs w:val="24"/>
        </w:rPr>
        <w:t xml:space="preserve"> Screening donated blood for transfusion-transmissible infections: recommendations.</w:t>
      </w:r>
    </w:p>
    <w:p w14:paraId="2B1C3D88" w14:textId="77777777" w:rsidR="00144E2D" w:rsidRDefault="00144E2D" w:rsidP="009A297D">
      <w:pPr>
        <w:pStyle w:val="ListParagraph"/>
        <w:numPr>
          <w:ilvl w:val="0"/>
          <w:numId w:val="4"/>
        </w:numPr>
        <w:spacing w:after="0" w:line="360" w:lineRule="auto"/>
        <w:rPr>
          <w:rFonts w:cstheme="minorHAnsi"/>
          <w:sz w:val="24"/>
          <w:szCs w:val="24"/>
        </w:rPr>
      </w:pPr>
      <w:r w:rsidRPr="00144E2D">
        <w:rPr>
          <w:rFonts w:cstheme="minorHAnsi"/>
          <w:sz w:val="24"/>
          <w:szCs w:val="24"/>
        </w:rPr>
        <w:t>EDQM; Council of Europe. Guide to the Quality and Safety of Tissues and Cells for Human</w:t>
      </w:r>
      <w:r>
        <w:rPr>
          <w:rFonts w:cstheme="minorHAnsi"/>
          <w:sz w:val="24"/>
          <w:szCs w:val="24"/>
        </w:rPr>
        <w:t xml:space="preserve"> </w:t>
      </w:r>
      <w:r w:rsidRPr="00144E2D">
        <w:rPr>
          <w:rFonts w:cstheme="minorHAnsi"/>
          <w:sz w:val="24"/>
          <w:szCs w:val="24"/>
        </w:rPr>
        <w:t>Application. (</w:t>
      </w:r>
      <w:r w:rsidRPr="009E338E">
        <w:rPr>
          <w:rFonts w:cstheme="minorHAnsi"/>
          <w:sz w:val="24"/>
          <w:szCs w:val="24"/>
        </w:rPr>
        <w:t>2019</w:t>
      </w:r>
      <w:r w:rsidRPr="00144E2D">
        <w:rPr>
          <w:rFonts w:cstheme="minorHAnsi"/>
          <w:sz w:val="24"/>
          <w:szCs w:val="24"/>
        </w:rPr>
        <w:t>).</w:t>
      </w:r>
    </w:p>
    <w:p w14:paraId="4B9AD75E" w14:textId="77777777" w:rsidR="00144E2D" w:rsidRDefault="00144E2D" w:rsidP="009A297D">
      <w:pPr>
        <w:pStyle w:val="ListParagraph"/>
        <w:numPr>
          <w:ilvl w:val="0"/>
          <w:numId w:val="4"/>
        </w:numPr>
        <w:spacing w:after="0" w:line="360" w:lineRule="auto"/>
        <w:rPr>
          <w:rFonts w:cstheme="minorHAnsi"/>
          <w:sz w:val="24"/>
          <w:szCs w:val="24"/>
        </w:rPr>
      </w:pPr>
      <w:r w:rsidRPr="00144E2D">
        <w:rPr>
          <w:rFonts w:cstheme="minorHAnsi"/>
          <w:sz w:val="24"/>
          <w:szCs w:val="24"/>
        </w:rPr>
        <w:t>EDQM Guide to the preparation, use and quality assurance of blood</w:t>
      </w:r>
      <w:r w:rsidRPr="00144E2D">
        <w:rPr>
          <w:rFonts w:cstheme="minorHAnsi"/>
          <w:b/>
          <w:sz w:val="24"/>
          <w:szCs w:val="24"/>
        </w:rPr>
        <w:t xml:space="preserve"> </w:t>
      </w:r>
      <w:r w:rsidRPr="00144E2D">
        <w:rPr>
          <w:rFonts w:cstheme="minorHAnsi"/>
          <w:sz w:val="24"/>
          <w:szCs w:val="24"/>
        </w:rPr>
        <w:t>components (2017)</w:t>
      </w:r>
    </w:p>
    <w:p w14:paraId="6B070368" w14:textId="77777777" w:rsidR="00144E2D" w:rsidRDefault="00144E2D" w:rsidP="009A297D">
      <w:pPr>
        <w:pStyle w:val="ListParagraph"/>
        <w:numPr>
          <w:ilvl w:val="0"/>
          <w:numId w:val="4"/>
        </w:numPr>
        <w:spacing w:after="0" w:line="360" w:lineRule="auto"/>
        <w:rPr>
          <w:rFonts w:cstheme="minorHAnsi"/>
          <w:sz w:val="24"/>
          <w:szCs w:val="24"/>
        </w:rPr>
      </w:pPr>
      <w:r w:rsidRPr="00144E2D">
        <w:rPr>
          <w:rFonts w:cstheme="minorHAnsi"/>
          <w:sz w:val="24"/>
          <w:szCs w:val="24"/>
        </w:rPr>
        <w:t>COMMISSION DIRECTIVE 2006/17/EC, implementing Directive 2004/23/EC of the European Parliament and of the Council as regards certain technical requirements for the donation, procurement and testing of human tissues and cells. (2006).</w:t>
      </w:r>
    </w:p>
    <w:p w14:paraId="19C92786" w14:textId="77777777" w:rsidR="00144E2D" w:rsidRDefault="00144E2D" w:rsidP="009A297D">
      <w:pPr>
        <w:pStyle w:val="ListParagraph"/>
        <w:numPr>
          <w:ilvl w:val="0"/>
          <w:numId w:val="4"/>
        </w:numPr>
        <w:spacing w:after="0" w:line="360" w:lineRule="auto"/>
        <w:rPr>
          <w:rFonts w:cstheme="minorHAnsi"/>
          <w:sz w:val="24"/>
          <w:szCs w:val="24"/>
        </w:rPr>
      </w:pPr>
      <w:r w:rsidRPr="00144E2D">
        <w:rPr>
          <w:rFonts w:cstheme="minorHAnsi"/>
          <w:sz w:val="24"/>
          <w:szCs w:val="24"/>
        </w:rPr>
        <w:t>Jang M-A, Yoon YA, Song J, Kim J-H, MinW-K, Lee JS, Lee Y-W, and Lee YK. 2017. Effect of Accreditation on Accuracy of Diagnostic Tests in Medical Laboratories. Ann Lab Med 37:213-222.</w:t>
      </w:r>
    </w:p>
    <w:p w14:paraId="69169E2C" w14:textId="77777777" w:rsidR="00144E2D" w:rsidRDefault="00144E2D" w:rsidP="009A297D">
      <w:pPr>
        <w:pStyle w:val="ListParagraph"/>
        <w:numPr>
          <w:ilvl w:val="0"/>
          <w:numId w:val="4"/>
        </w:numPr>
        <w:spacing w:after="0" w:line="360" w:lineRule="auto"/>
        <w:rPr>
          <w:rFonts w:cstheme="minorHAnsi"/>
          <w:sz w:val="24"/>
          <w:szCs w:val="24"/>
        </w:rPr>
      </w:pPr>
      <w:r w:rsidRPr="00144E2D">
        <w:rPr>
          <w:rFonts w:cstheme="minorHAnsi"/>
          <w:sz w:val="24"/>
          <w:szCs w:val="24"/>
        </w:rPr>
        <w:t>Allen LC. 2013.  Role of a quality management system in improving patient safety—Laboratory aspects. Clin. Biochem. 46:1187-1193.</w:t>
      </w:r>
    </w:p>
    <w:p w14:paraId="757CB403" w14:textId="77777777" w:rsidR="00144E2D" w:rsidRDefault="00144E2D" w:rsidP="009A297D">
      <w:pPr>
        <w:pStyle w:val="ListParagraph"/>
        <w:numPr>
          <w:ilvl w:val="0"/>
          <w:numId w:val="4"/>
        </w:numPr>
        <w:spacing w:after="0" w:line="360" w:lineRule="auto"/>
        <w:rPr>
          <w:rFonts w:cstheme="minorHAnsi"/>
          <w:sz w:val="24"/>
          <w:szCs w:val="24"/>
        </w:rPr>
      </w:pPr>
      <w:r w:rsidRPr="00144E2D">
        <w:rPr>
          <w:rFonts w:cstheme="minorHAnsi"/>
          <w:sz w:val="24"/>
          <w:szCs w:val="24"/>
        </w:rPr>
        <w:t>Zima T. 2017. Accreditation of medical laboratories– system, process, benefits for labs. Med Biochem 36: 231–237.</w:t>
      </w:r>
    </w:p>
    <w:p w14:paraId="09645D74" w14:textId="77777777" w:rsidR="00144E2D" w:rsidRDefault="00144E2D" w:rsidP="009A297D">
      <w:pPr>
        <w:pStyle w:val="ListParagraph"/>
        <w:numPr>
          <w:ilvl w:val="0"/>
          <w:numId w:val="4"/>
        </w:numPr>
        <w:spacing w:after="0" w:line="360" w:lineRule="auto"/>
        <w:rPr>
          <w:rFonts w:cstheme="minorHAnsi"/>
          <w:sz w:val="24"/>
          <w:szCs w:val="24"/>
        </w:rPr>
      </w:pPr>
      <w:r w:rsidRPr="00144E2D">
        <w:rPr>
          <w:rFonts w:cstheme="minorHAnsi"/>
          <w:sz w:val="24"/>
          <w:szCs w:val="24"/>
        </w:rPr>
        <w:t>Boursier G, Vukasovic I, Brguljan PM, Lohmander M, Ghita I, Andreu F, Barrett E, Brugnoni D, Kroupis C, Sprongl L, Thelen MHM, Vanstapel F, Vodnik T, Huisman W and Vaubourdolle M. 2016. Accreditation process in European countries – an EFLM survey. Clin Chem Lab Med 54(4): 545–551.</w:t>
      </w:r>
    </w:p>
    <w:p w14:paraId="297276E5" w14:textId="77777777" w:rsidR="00144E2D" w:rsidRDefault="00144E2D" w:rsidP="009A297D">
      <w:pPr>
        <w:pStyle w:val="ListParagraph"/>
        <w:numPr>
          <w:ilvl w:val="0"/>
          <w:numId w:val="4"/>
        </w:numPr>
        <w:spacing w:after="0" w:line="360" w:lineRule="auto"/>
        <w:rPr>
          <w:rFonts w:cstheme="minorHAnsi"/>
          <w:sz w:val="24"/>
          <w:szCs w:val="24"/>
        </w:rPr>
      </w:pPr>
      <w:r w:rsidRPr="00144E2D">
        <w:rPr>
          <w:rFonts w:cstheme="minorHAnsi"/>
          <w:sz w:val="24"/>
          <w:szCs w:val="24"/>
        </w:rPr>
        <w:t>Buchta C, Coucke W, Mayr WR, Müller MM, Oeser R, Schweiger CR and Körmöczi GF. 2018. Evidence for the positive impact of ISO 9001 and ISO 15189 quality systems on laboratory performance – evaluation of immunohaematology external quality assessment results during 19 years in Austria. Clin Chem Lab Med 56(12): 2039-2046.</w:t>
      </w:r>
    </w:p>
    <w:p w14:paraId="6AE220F4" w14:textId="77777777" w:rsidR="00144E2D" w:rsidRDefault="00144E2D" w:rsidP="009A297D">
      <w:pPr>
        <w:pStyle w:val="ListParagraph"/>
        <w:numPr>
          <w:ilvl w:val="0"/>
          <w:numId w:val="4"/>
        </w:numPr>
        <w:spacing w:after="0" w:line="360" w:lineRule="auto"/>
        <w:rPr>
          <w:rFonts w:cstheme="minorHAnsi"/>
          <w:sz w:val="24"/>
          <w:szCs w:val="24"/>
        </w:rPr>
      </w:pPr>
      <w:r w:rsidRPr="00144E2D">
        <w:rPr>
          <w:rFonts w:cstheme="minorHAnsi"/>
          <w:sz w:val="24"/>
          <w:szCs w:val="24"/>
        </w:rPr>
        <w:t>COMMISSION DIRECTIVE 2005/62/EC of 30 September 2005 implementing Directive 2002/98/EC of the European Parliament and of the Council as regards Community standards and specifications relating to a quality system for blood establishments</w:t>
      </w:r>
    </w:p>
    <w:p w14:paraId="405E27B3" w14:textId="3155A946" w:rsidR="00144E2D" w:rsidRPr="00165EC0" w:rsidRDefault="00144E2D" w:rsidP="009A297D">
      <w:pPr>
        <w:pStyle w:val="ListParagraph"/>
        <w:numPr>
          <w:ilvl w:val="0"/>
          <w:numId w:val="4"/>
        </w:numPr>
        <w:spacing w:after="0" w:line="360" w:lineRule="auto"/>
        <w:rPr>
          <w:rFonts w:cstheme="minorHAnsi"/>
          <w:sz w:val="24"/>
          <w:szCs w:val="24"/>
        </w:rPr>
      </w:pPr>
      <w:r w:rsidRPr="00BC0239">
        <w:rPr>
          <w:iCs/>
          <w:sz w:val="24"/>
          <w:szCs w:val="24"/>
        </w:rPr>
        <w:lastRenderedPageBreak/>
        <w:t>Trevethan R (2017)</w:t>
      </w:r>
      <w:r w:rsidR="00BC0239" w:rsidRPr="00BC0239">
        <w:rPr>
          <w:iCs/>
          <w:sz w:val="24"/>
          <w:szCs w:val="24"/>
        </w:rPr>
        <w:t>:</w:t>
      </w:r>
      <w:r w:rsidRPr="00BC0239">
        <w:rPr>
          <w:iCs/>
          <w:sz w:val="24"/>
          <w:szCs w:val="24"/>
        </w:rPr>
        <w:t xml:space="preserve"> Sensitivity, Specificity, and Predictive Values: Foundations, Pliabilities, and Pitfalls in Research and Practice. Front. Public Health 5:307. doi: 10.3389/fpubh.2017.00307</w:t>
      </w:r>
    </w:p>
    <w:p w14:paraId="3E4BA38B" w14:textId="1392E36E" w:rsidR="00165EC0" w:rsidRDefault="00165EC0" w:rsidP="009A297D">
      <w:pPr>
        <w:pStyle w:val="ListParagraph"/>
        <w:numPr>
          <w:ilvl w:val="0"/>
          <w:numId w:val="4"/>
        </w:numPr>
        <w:spacing w:after="0" w:line="360" w:lineRule="auto"/>
        <w:rPr>
          <w:rFonts w:cstheme="minorHAnsi"/>
          <w:sz w:val="24"/>
          <w:szCs w:val="24"/>
        </w:rPr>
      </w:pPr>
      <w:r w:rsidRPr="00165EC0">
        <w:rPr>
          <w:rFonts w:cstheme="minorHAnsi"/>
          <w:sz w:val="24"/>
          <w:szCs w:val="24"/>
        </w:rPr>
        <w:t>CPMP/BWP/268/95 (revised): Note for guidance on viral validation studies: The design, contribution and interpretation of studies validating the inactivation and removal of viruses. (1996)</w:t>
      </w:r>
    </w:p>
    <w:p w14:paraId="052BA76A" w14:textId="13105F8E" w:rsidR="00634024" w:rsidRDefault="00634024" w:rsidP="009A297D">
      <w:pPr>
        <w:pStyle w:val="ListParagraph"/>
        <w:numPr>
          <w:ilvl w:val="0"/>
          <w:numId w:val="4"/>
        </w:numPr>
        <w:spacing w:after="0" w:line="360" w:lineRule="auto"/>
        <w:rPr>
          <w:rFonts w:cstheme="minorHAnsi"/>
          <w:sz w:val="24"/>
          <w:szCs w:val="24"/>
        </w:rPr>
      </w:pPr>
      <w:r w:rsidRPr="00634024">
        <w:rPr>
          <w:rFonts w:cstheme="minorHAnsi"/>
          <w:sz w:val="24"/>
          <w:szCs w:val="24"/>
        </w:rPr>
        <w:t>Validation of Plasma and Platelet Pathogen Inactivation. The UK Standing Advisory Committee on Blood Components/Standing Advisory Committee on Transfusion Transmitted Infection</w:t>
      </w:r>
      <w:r>
        <w:rPr>
          <w:rFonts w:cstheme="minorHAnsi"/>
          <w:sz w:val="24"/>
          <w:szCs w:val="24"/>
        </w:rPr>
        <w:t>. (2019)</w:t>
      </w:r>
    </w:p>
    <w:p w14:paraId="1B01BCCC" w14:textId="7E5FEE69" w:rsidR="0034576D" w:rsidRPr="0034576D" w:rsidRDefault="0034576D" w:rsidP="009A297D">
      <w:pPr>
        <w:pStyle w:val="ListParagraph"/>
        <w:numPr>
          <w:ilvl w:val="0"/>
          <w:numId w:val="4"/>
        </w:numPr>
        <w:spacing w:after="0" w:line="360" w:lineRule="auto"/>
        <w:rPr>
          <w:rFonts w:cstheme="minorHAnsi"/>
          <w:sz w:val="24"/>
          <w:szCs w:val="24"/>
        </w:rPr>
      </w:pPr>
      <w:r w:rsidRPr="0034576D">
        <w:rPr>
          <w:rFonts w:cstheme="minorHAnsi"/>
          <w:sz w:val="24"/>
          <w:szCs w:val="24"/>
        </w:rPr>
        <w:t>Kuiken T, Fouchier RA, Schutten M, Rimmelzwaan GF, van Amerongen G, van Riel D, Laman JD, de Jong T, van Doornum G, Lim W, Ling AE, Chan PK, Tam JS, Zambon MC, Gopal R, Drosten C, van der Werf S, Escriou N, Manuguerra JC, Stöhr K, Peiris JS, Osterhaus AD: Newly discovered coronavirus as the primary cause of severe acute respiratory syndrome. Lancet 2003;362:263–270.</w:t>
      </w:r>
    </w:p>
    <w:p w14:paraId="762E8314" w14:textId="4E77A9F1" w:rsidR="00533CCB" w:rsidRDefault="00533CCB" w:rsidP="009A297D">
      <w:pPr>
        <w:pStyle w:val="ListParagraph"/>
        <w:numPr>
          <w:ilvl w:val="0"/>
          <w:numId w:val="4"/>
        </w:numPr>
        <w:spacing w:after="0" w:line="360" w:lineRule="auto"/>
        <w:rPr>
          <w:rFonts w:cstheme="minorHAnsi"/>
          <w:sz w:val="24"/>
          <w:szCs w:val="24"/>
        </w:rPr>
      </w:pPr>
      <w:r w:rsidRPr="00533CCB">
        <w:rPr>
          <w:rFonts w:cstheme="minorHAnsi"/>
          <w:sz w:val="24"/>
          <w:szCs w:val="24"/>
        </w:rPr>
        <w:t>Qi X, Qian YH, Bao CJ, Guo XL, Cui LB, Tang FY, Ji H, Huang Y, Cai PQ, Lu B, Xu K, Shi C, Zhu FC, Zhou MH, Wang H: Probable person to person transmission of novel avian influenza A</w:t>
      </w:r>
      <w:r>
        <w:rPr>
          <w:rFonts w:cstheme="minorHAnsi"/>
          <w:sz w:val="24"/>
          <w:szCs w:val="24"/>
        </w:rPr>
        <w:t xml:space="preserve"> </w:t>
      </w:r>
      <w:r w:rsidRPr="00533CCB">
        <w:rPr>
          <w:rFonts w:cstheme="minorHAnsi"/>
          <w:sz w:val="24"/>
          <w:szCs w:val="24"/>
        </w:rPr>
        <w:t>(H7N9) virus in Eastern China, 2013: epidemiological investigation. BMJ 2013;</w:t>
      </w:r>
      <w:r>
        <w:rPr>
          <w:rFonts w:cstheme="minorHAnsi"/>
          <w:sz w:val="24"/>
          <w:szCs w:val="24"/>
        </w:rPr>
        <w:t xml:space="preserve"> 347.</w:t>
      </w:r>
    </w:p>
    <w:p w14:paraId="5FBF5B1D" w14:textId="4DAEF75F" w:rsidR="009D3A06" w:rsidRDefault="009D3A06" w:rsidP="009A297D">
      <w:pPr>
        <w:pStyle w:val="ListParagraph"/>
        <w:numPr>
          <w:ilvl w:val="0"/>
          <w:numId w:val="4"/>
        </w:numPr>
        <w:spacing w:after="0" w:line="360" w:lineRule="auto"/>
        <w:rPr>
          <w:rFonts w:cstheme="minorHAnsi"/>
          <w:sz w:val="24"/>
          <w:szCs w:val="24"/>
        </w:rPr>
      </w:pPr>
      <w:r>
        <w:rPr>
          <w:rFonts w:cstheme="minorHAnsi"/>
          <w:sz w:val="24"/>
          <w:szCs w:val="24"/>
        </w:rPr>
        <w:t>Wang</w:t>
      </w:r>
      <w:r w:rsidR="000F0098">
        <w:rPr>
          <w:rFonts w:cstheme="minorHAnsi"/>
          <w:sz w:val="24"/>
          <w:szCs w:val="24"/>
        </w:rPr>
        <w:t xml:space="preserve"> C, Horby PW, Hayden FG, Gao GF</w:t>
      </w:r>
      <w:r>
        <w:rPr>
          <w:rFonts w:cstheme="minorHAnsi"/>
          <w:sz w:val="24"/>
          <w:szCs w:val="24"/>
        </w:rPr>
        <w:t xml:space="preserve">: </w:t>
      </w:r>
      <w:r w:rsidRPr="009D3A06">
        <w:rPr>
          <w:rFonts w:cstheme="minorHAnsi"/>
          <w:sz w:val="24"/>
          <w:szCs w:val="24"/>
        </w:rPr>
        <w:t>A novel coronavirus outbreak of global health concern</w:t>
      </w:r>
      <w:r>
        <w:rPr>
          <w:rFonts w:cstheme="minorHAnsi"/>
          <w:sz w:val="24"/>
          <w:szCs w:val="24"/>
        </w:rPr>
        <w:t xml:space="preserve">. </w:t>
      </w:r>
      <w:r w:rsidR="00CC79F3">
        <w:rPr>
          <w:rFonts w:cstheme="minorHAnsi"/>
          <w:sz w:val="24"/>
          <w:szCs w:val="24"/>
        </w:rPr>
        <w:t>Lancet 2020;395:470-473.</w:t>
      </w:r>
    </w:p>
    <w:p w14:paraId="3597C2FB" w14:textId="77777777" w:rsidR="00A51A32" w:rsidRPr="00A51A32" w:rsidRDefault="00A51A32" w:rsidP="009A297D">
      <w:pPr>
        <w:pStyle w:val="ListParagraph"/>
        <w:numPr>
          <w:ilvl w:val="0"/>
          <w:numId w:val="4"/>
        </w:numPr>
        <w:spacing w:after="0" w:line="360" w:lineRule="auto"/>
        <w:rPr>
          <w:rFonts w:cstheme="minorHAnsi"/>
          <w:sz w:val="24"/>
          <w:szCs w:val="24"/>
        </w:rPr>
      </w:pPr>
      <w:r w:rsidRPr="00A51A32">
        <w:rPr>
          <w:rFonts w:cstheme="minorHAnsi"/>
          <w:sz w:val="24"/>
          <w:szCs w:val="24"/>
        </w:rPr>
        <w:t>WHO Technical Report Series, No. 961, 2011, Annex 4, WHO guidelines on good manufacturing practices for blood establishments:</w:t>
      </w:r>
    </w:p>
    <w:p w14:paraId="4C54C74F" w14:textId="5EAC30D1" w:rsidR="00A51A32" w:rsidRDefault="00A51A32" w:rsidP="009A297D">
      <w:pPr>
        <w:pStyle w:val="ListParagraph"/>
        <w:numPr>
          <w:ilvl w:val="0"/>
          <w:numId w:val="4"/>
        </w:numPr>
        <w:spacing w:after="0" w:line="360" w:lineRule="auto"/>
        <w:rPr>
          <w:rFonts w:cstheme="minorHAnsi"/>
          <w:sz w:val="24"/>
          <w:szCs w:val="24"/>
        </w:rPr>
      </w:pPr>
      <w:r w:rsidRPr="00A51A32">
        <w:rPr>
          <w:rFonts w:cstheme="minorHAnsi"/>
          <w:sz w:val="24"/>
          <w:szCs w:val="24"/>
        </w:rPr>
        <w:t>European Commission. Commission Decision of 27 November 2009 amending Decision 2002/364/EC on common technical specifications for in vitro-diagnostic medical devices (2009/886/EC). Official Journal of the European Union 2009; L39/25-L39/40.</w:t>
      </w:r>
    </w:p>
    <w:p w14:paraId="0ED9A775" w14:textId="4FC03D8F" w:rsidR="00A51A32" w:rsidRDefault="00F46140" w:rsidP="009A297D">
      <w:pPr>
        <w:pStyle w:val="ListParagraph"/>
        <w:numPr>
          <w:ilvl w:val="0"/>
          <w:numId w:val="4"/>
        </w:numPr>
        <w:spacing w:after="0" w:line="360" w:lineRule="auto"/>
        <w:rPr>
          <w:rFonts w:cstheme="minorHAnsi"/>
          <w:sz w:val="24"/>
          <w:szCs w:val="24"/>
        </w:rPr>
      </w:pPr>
      <w:r w:rsidRPr="00F46140">
        <w:rPr>
          <w:rFonts w:cstheme="minorHAnsi"/>
          <w:sz w:val="24"/>
          <w:szCs w:val="24"/>
        </w:rPr>
        <w:t>REGULATION (EU) 2017/746 OF THE EUROPEAN PARLIAMENT AND OF THE COUNCIL of 5 April 2017 on in vitro diagnostic medical devices and repealing Directive 98/79/EC and Commission Decision 2010/227/EU</w:t>
      </w:r>
      <w:r>
        <w:rPr>
          <w:rFonts w:cstheme="minorHAnsi"/>
          <w:sz w:val="24"/>
          <w:szCs w:val="24"/>
        </w:rPr>
        <w:t>.</w:t>
      </w:r>
    </w:p>
    <w:p w14:paraId="39556DB6" w14:textId="22C0EA80" w:rsidR="00CD5B4F" w:rsidRPr="00CD5B4F" w:rsidRDefault="00CD5B4F" w:rsidP="009A297D">
      <w:pPr>
        <w:pStyle w:val="ListParagraph"/>
        <w:numPr>
          <w:ilvl w:val="0"/>
          <w:numId w:val="4"/>
        </w:numPr>
        <w:rPr>
          <w:rFonts w:eastAsia="Times New Roman"/>
          <w:sz w:val="24"/>
          <w:szCs w:val="24"/>
          <w:lang w:eastAsia="fi-FI"/>
        </w:rPr>
      </w:pPr>
      <w:r w:rsidRPr="00CD5B4F">
        <w:rPr>
          <w:rFonts w:eastAsia="Times New Roman"/>
          <w:sz w:val="24"/>
          <w:szCs w:val="24"/>
          <w:lang w:eastAsia="fi-FI"/>
        </w:rPr>
        <w:t>ECDC. Diagnostic tests versus screening tests</w:t>
      </w:r>
      <w:r>
        <w:rPr>
          <w:rFonts w:eastAsia="Times New Roman"/>
          <w:sz w:val="24"/>
          <w:szCs w:val="24"/>
          <w:lang w:eastAsia="fi-FI"/>
        </w:rPr>
        <w:t xml:space="preserve">. </w:t>
      </w:r>
      <w:r w:rsidRPr="00CD5B4F">
        <w:rPr>
          <w:rFonts w:eastAsia="Times New Roman"/>
          <w:sz w:val="24"/>
          <w:szCs w:val="24"/>
          <w:lang w:eastAsia="fi-FI"/>
        </w:rPr>
        <w:t>https://wiki.ecdc.europa.eu/fem/Pages/Diagnostic%20tests%20versus%20screening%20tests.aspx</w:t>
      </w:r>
    </w:p>
    <w:p w14:paraId="06E77541" w14:textId="4CBE47BB" w:rsidR="00FE1411" w:rsidRDefault="00FE1411" w:rsidP="009A297D">
      <w:pPr>
        <w:pStyle w:val="ListParagraph"/>
        <w:numPr>
          <w:ilvl w:val="0"/>
          <w:numId w:val="4"/>
        </w:numPr>
        <w:spacing w:after="0" w:line="360" w:lineRule="auto"/>
        <w:rPr>
          <w:rFonts w:cstheme="minorHAnsi"/>
          <w:sz w:val="24"/>
          <w:szCs w:val="24"/>
        </w:rPr>
      </w:pPr>
      <w:r w:rsidRPr="00FE1411">
        <w:rPr>
          <w:rFonts w:cstheme="minorHAnsi"/>
          <w:sz w:val="24"/>
          <w:szCs w:val="24"/>
        </w:rPr>
        <w:lastRenderedPageBreak/>
        <w:t>Haass, K.A., et al., Transfusion-Transmitted Infections Reported to the National Healthcare Safe</w:t>
      </w:r>
      <w:r>
        <w:rPr>
          <w:rFonts w:cstheme="minorHAnsi"/>
          <w:sz w:val="24"/>
          <w:szCs w:val="24"/>
        </w:rPr>
        <w:t>ty Network Hemovigilance Module.</w:t>
      </w:r>
      <w:r w:rsidRPr="00FE1411">
        <w:rPr>
          <w:rFonts w:cstheme="minorHAnsi"/>
          <w:sz w:val="24"/>
          <w:szCs w:val="24"/>
        </w:rPr>
        <w:t xml:space="preserve"> Transfus Med Rev, 2019; 33(2): 84-91.</w:t>
      </w:r>
    </w:p>
    <w:p w14:paraId="6A9ABDAE" w14:textId="77777777" w:rsidR="00193834" w:rsidRPr="00193834" w:rsidRDefault="00193834" w:rsidP="009A297D">
      <w:pPr>
        <w:pStyle w:val="ListParagraph"/>
        <w:numPr>
          <w:ilvl w:val="0"/>
          <w:numId w:val="4"/>
        </w:numPr>
        <w:spacing w:after="0" w:line="360" w:lineRule="auto"/>
        <w:rPr>
          <w:rFonts w:cstheme="minorHAnsi"/>
          <w:sz w:val="24"/>
          <w:szCs w:val="24"/>
        </w:rPr>
      </w:pPr>
      <w:r w:rsidRPr="00193834">
        <w:rPr>
          <w:rFonts w:cstheme="minorHAnsi"/>
          <w:sz w:val="24"/>
          <w:szCs w:val="24"/>
        </w:rPr>
        <w:t>Noisakran S, Onlamoon N, Songprakhon P, Hsiao H-M, ChokephaibulkitK, and Perng GC. 2010. Cells in Dengue Virus Infection In Vivo. Adv Virol. doi: 10.1155/2010/164878</w:t>
      </w:r>
    </w:p>
    <w:p w14:paraId="4D6BBCCA" w14:textId="77777777" w:rsidR="00193834" w:rsidRPr="00193834" w:rsidRDefault="00193834" w:rsidP="009A297D">
      <w:pPr>
        <w:pStyle w:val="ListParagraph"/>
        <w:numPr>
          <w:ilvl w:val="0"/>
          <w:numId w:val="4"/>
        </w:numPr>
        <w:spacing w:after="0" w:line="360" w:lineRule="auto"/>
        <w:rPr>
          <w:rFonts w:cstheme="minorHAnsi"/>
          <w:sz w:val="24"/>
          <w:szCs w:val="24"/>
        </w:rPr>
      </w:pPr>
      <w:r w:rsidRPr="00193834">
        <w:rPr>
          <w:rFonts w:cstheme="minorHAnsi"/>
          <w:sz w:val="24"/>
          <w:szCs w:val="24"/>
        </w:rPr>
        <w:t xml:space="preserve">Blau, D. M., Rabe, I. B., Bhatnagar, J., Civen, R., Trivedi, K. K., Rollin, D, Hocevar, S.N., Kuehnert, M., Staples, J.E., Zaki, S.R., Fischer, M., and the West Nile Virus Transplant-Associated Transmission Investigation Team. 2013. West Nile Virus RNA in Tissues from Donor Associated with Transmission to Organ Transplant Recipients. Emerging Infectious Diseases, 19(9), 1518-1520. https://dx.doi.org/10.3201/eid1909.130365 </w:t>
      </w:r>
    </w:p>
    <w:p w14:paraId="39365F89" w14:textId="77777777" w:rsidR="00193834" w:rsidRPr="00193834" w:rsidRDefault="00193834" w:rsidP="009A297D">
      <w:pPr>
        <w:pStyle w:val="ListParagraph"/>
        <w:numPr>
          <w:ilvl w:val="0"/>
          <w:numId w:val="4"/>
        </w:numPr>
        <w:spacing w:after="0" w:line="360" w:lineRule="auto"/>
        <w:rPr>
          <w:rFonts w:cstheme="minorHAnsi"/>
          <w:sz w:val="24"/>
          <w:szCs w:val="24"/>
        </w:rPr>
      </w:pPr>
      <w:r w:rsidRPr="00193834">
        <w:rPr>
          <w:rFonts w:cstheme="minorHAnsi"/>
          <w:sz w:val="24"/>
          <w:szCs w:val="24"/>
        </w:rPr>
        <w:t>Schwartz O, Albert ML, 2010. Biology and pathogenesis of chikungunya virus. Nat Rev Microbiol. 8(7):491-500. doi: 10.1038/nrmicro2368.</w:t>
      </w:r>
    </w:p>
    <w:p w14:paraId="3AD2BF87" w14:textId="5C4C7DD5" w:rsidR="00193834" w:rsidRDefault="00193834" w:rsidP="009A297D">
      <w:pPr>
        <w:pStyle w:val="ListParagraph"/>
        <w:numPr>
          <w:ilvl w:val="0"/>
          <w:numId w:val="4"/>
        </w:numPr>
        <w:spacing w:after="0" w:line="360" w:lineRule="auto"/>
        <w:rPr>
          <w:rFonts w:cstheme="minorHAnsi"/>
          <w:sz w:val="24"/>
          <w:szCs w:val="24"/>
        </w:rPr>
      </w:pPr>
      <w:r w:rsidRPr="00193834">
        <w:rPr>
          <w:rFonts w:cstheme="minorHAnsi"/>
          <w:sz w:val="24"/>
          <w:szCs w:val="24"/>
        </w:rPr>
        <w:t xml:space="preserve">European commission. 2020. Current performance of COVID-19 test methods and devices and proposed performance criteria - Working document of Commission services. </w:t>
      </w:r>
      <w:hyperlink r:id="rId13" w:history="1">
        <w:r w:rsidR="002B5DF0" w:rsidRPr="00587014">
          <w:rPr>
            <w:rStyle w:val="Hyperlink"/>
            <w:rFonts w:cstheme="minorHAnsi"/>
            <w:sz w:val="24"/>
            <w:szCs w:val="24"/>
          </w:rPr>
          <w:t>https://ec.europa.eu/docsroom/documents/40805</w:t>
        </w:r>
      </w:hyperlink>
    </w:p>
    <w:p w14:paraId="1FF3E049" w14:textId="5AF2F186" w:rsidR="002B5DF0" w:rsidRPr="00533CCB" w:rsidRDefault="002B5DF0" w:rsidP="009A297D">
      <w:pPr>
        <w:pStyle w:val="ListParagraph"/>
        <w:numPr>
          <w:ilvl w:val="0"/>
          <w:numId w:val="4"/>
        </w:numPr>
        <w:spacing w:after="0" w:line="360" w:lineRule="auto"/>
        <w:rPr>
          <w:rFonts w:cstheme="minorHAnsi"/>
          <w:sz w:val="24"/>
          <w:szCs w:val="24"/>
        </w:rPr>
      </w:pPr>
      <w:r w:rsidRPr="002B5DF0">
        <w:rPr>
          <w:rFonts w:cstheme="minorHAnsi"/>
          <w:sz w:val="24"/>
          <w:szCs w:val="24"/>
        </w:rPr>
        <w:t>WHO guidelines on transfer of technology in pharma</w:t>
      </w:r>
      <w:r>
        <w:rPr>
          <w:rFonts w:cstheme="minorHAnsi"/>
          <w:sz w:val="24"/>
          <w:szCs w:val="24"/>
        </w:rPr>
        <w:t>ceutical manufacturing, Annex 7.</w:t>
      </w:r>
      <w:r w:rsidRPr="002B5DF0">
        <w:rPr>
          <w:rFonts w:cstheme="minorHAnsi"/>
          <w:sz w:val="24"/>
          <w:szCs w:val="24"/>
        </w:rPr>
        <w:t xml:space="preserve"> WHO Technical Report Series, No. 961, 2011</w:t>
      </w:r>
      <w:r>
        <w:rPr>
          <w:rFonts w:cstheme="minorHAnsi"/>
          <w:sz w:val="24"/>
          <w:szCs w:val="24"/>
        </w:rPr>
        <w:t>.</w:t>
      </w:r>
    </w:p>
    <w:p w14:paraId="63C48C1B" w14:textId="7C9E9141" w:rsidR="00F25365" w:rsidRDefault="00F25365">
      <w:pPr>
        <w:rPr>
          <w:rFonts w:cstheme="minorHAnsi"/>
          <w:sz w:val="24"/>
          <w:szCs w:val="24"/>
        </w:rPr>
      </w:pPr>
      <w:r>
        <w:rPr>
          <w:rFonts w:cstheme="minorHAnsi"/>
          <w:sz w:val="24"/>
          <w:szCs w:val="24"/>
        </w:rPr>
        <w:br w:type="page"/>
      </w:r>
    </w:p>
    <w:p w14:paraId="3A574D04" w14:textId="59F8114D" w:rsidR="001C3BE3" w:rsidRDefault="00F25365" w:rsidP="00F25365">
      <w:pPr>
        <w:pStyle w:val="Heading1"/>
      </w:pPr>
      <w:bookmarkStart w:id="53" w:name="_Toc41427185"/>
      <w:r>
        <w:lastRenderedPageBreak/>
        <w:t>Acronyms</w:t>
      </w:r>
      <w:bookmarkEnd w:id="53"/>
    </w:p>
    <w:p w14:paraId="2D48849E" w14:textId="412FBB05" w:rsidR="003D3232" w:rsidRDefault="003D3232" w:rsidP="00F25365">
      <w:pPr>
        <w:pStyle w:val="Text1"/>
        <w:spacing w:after="60" w:line="264" w:lineRule="auto"/>
        <w:ind w:left="360"/>
        <w:rPr>
          <w:rFonts w:asciiTheme="minorHAnsi" w:hAnsiTheme="minorHAnsi" w:cstheme="majorHAnsi"/>
          <w:b/>
          <w:sz w:val="22"/>
          <w:szCs w:val="22"/>
        </w:rPr>
      </w:pPr>
      <w:r>
        <w:rPr>
          <w:rFonts w:asciiTheme="minorHAnsi" w:hAnsiTheme="minorHAnsi" w:cstheme="majorHAnsi"/>
          <w:b/>
          <w:sz w:val="22"/>
          <w:szCs w:val="22"/>
        </w:rPr>
        <w:t>Ab</w:t>
      </w:r>
      <w:r>
        <w:rPr>
          <w:rFonts w:asciiTheme="minorHAnsi" w:hAnsiTheme="minorHAnsi" w:cstheme="majorHAnsi"/>
          <w:b/>
          <w:sz w:val="22"/>
          <w:szCs w:val="22"/>
        </w:rPr>
        <w:tab/>
      </w:r>
      <w:r>
        <w:rPr>
          <w:rFonts w:asciiTheme="minorHAnsi" w:hAnsiTheme="minorHAnsi" w:cstheme="majorHAnsi"/>
          <w:b/>
          <w:sz w:val="22"/>
          <w:szCs w:val="22"/>
        </w:rPr>
        <w:tab/>
      </w:r>
      <w:r w:rsidRPr="003D3232">
        <w:rPr>
          <w:rFonts w:asciiTheme="minorHAnsi" w:hAnsiTheme="minorHAnsi" w:cstheme="majorHAnsi"/>
          <w:sz w:val="22"/>
          <w:szCs w:val="22"/>
        </w:rPr>
        <w:t>Antibody</w:t>
      </w:r>
    </w:p>
    <w:p w14:paraId="4AE1B2F8" w14:textId="1BBFEF35" w:rsidR="001D78F2" w:rsidRDefault="001D78F2" w:rsidP="00F25365">
      <w:pPr>
        <w:pStyle w:val="Text1"/>
        <w:spacing w:after="60" w:line="264" w:lineRule="auto"/>
        <w:ind w:left="360"/>
        <w:rPr>
          <w:rFonts w:asciiTheme="minorHAnsi" w:hAnsiTheme="minorHAnsi" w:cstheme="majorHAnsi"/>
          <w:b/>
          <w:sz w:val="22"/>
          <w:szCs w:val="22"/>
        </w:rPr>
      </w:pPr>
      <w:r>
        <w:rPr>
          <w:rFonts w:asciiTheme="minorHAnsi" w:hAnsiTheme="minorHAnsi" w:cstheme="majorHAnsi"/>
          <w:b/>
          <w:sz w:val="22"/>
          <w:szCs w:val="22"/>
        </w:rPr>
        <w:t>Ag</w:t>
      </w:r>
      <w:r>
        <w:rPr>
          <w:rFonts w:asciiTheme="minorHAnsi" w:hAnsiTheme="minorHAnsi" w:cstheme="majorHAnsi"/>
          <w:b/>
          <w:sz w:val="22"/>
          <w:szCs w:val="22"/>
        </w:rPr>
        <w:tab/>
      </w:r>
      <w:r>
        <w:rPr>
          <w:rFonts w:asciiTheme="minorHAnsi" w:hAnsiTheme="minorHAnsi" w:cstheme="majorHAnsi"/>
          <w:b/>
          <w:sz w:val="22"/>
          <w:szCs w:val="22"/>
        </w:rPr>
        <w:tab/>
      </w:r>
      <w:r w:rsidRPr="001D78F2">
        <w:rPr>
          <w:rFonts w:asciiTheme="minorHAnsi" w:hAnsiTheme="minorHAnsi" w:cstheme="majorHAnsi"/>
          <w:sz w:val="22"/>
          <w:szCs w:val="22"/>
        </w:rPr>
        <w:t>Antigen</w:t>
      </w:r>
    </w:p>
    <w:p w14:paraId="3CF7D36A" w14:textId="2122B0B4" w:rsidR="00F25365" w:rsidRPr="00917846" w:rsidRDefault="00F25365" w:rsidP="00F25365">
      <w:pPr>
        <w:pStyle w:val="Text1"/>
        <w:spacing w:after="60" w:line="264" w:lineRule="auto"/>
        <w:ind w:left="360"/>
        <w:rPr>
          <w:rFonts w:asciiTheme="minorHAnsi" w:hAnsiTheme="minorHAnsi" w:cstheme="majorHAnsi"/>
          <w:sz w:val="22"/>
          <w:szCs w:val="22"/>
        </w:rPr>
      </w:pPr>
      <w:r w:rsidRPr="00917846">
        <w:rPr>
          <w:rFonts w:asciiTheme="minorHAnsi" w:hAnsiTheme="minorHAnsi" w:cstheme="majorHAnsi"/>
          <w:b/>
          <w:sz w:val="22"/>
          <w:szCs w:val="22"/>
        </w:rPr>
        <w:t>BE</w:t>
      </w:r>
      <w:r w:rsidRPr="00917846">
        <w:rPr>
          <w:rFonts w:asciiTheme="minorHAnsi" w:hAnsiTheme="minorHAnsi" w:cstheme="majorHAnsi"/>
          <w:sz w:val="22"/>
          <w:szCs w:val="22"/>
        </w:rPr>
        <w:tab/>
      </w:r>
      <w:r w:rsidRPr="00917846">
        <w:rPr>
          <w:rFonts w:asciiTheme="minorHAnsi" w:hAnsiTheme="minorHAnsi" w:cstheme="majorHAnsi"/>
          <w:sz w:val="22"/>
          <w:szCs w:val="22"/>
        </w:rPr>
        <w:tab/>
        <w:t>Blood Establishment</w:t>
      </w:r>
    </w:p>
    <w:p w14:paraId="0A767149" w14:textId="77777777" w:rsidR="00F25365" w:rsidRPr="00917846" w:rsidRDefault="00F25365" w:rsidP="00F25365">
      <w:pPr>
        <w:pStyle w:val="Text1"/>
        <w:spacing w:after="60" w:line="264" w:lineRule="auto"/>
        <w:ind w:left="360"/>
        <w:rPr>
          <w:rFonts w:asciiTheme="minorHAnsi" w:hAnsiTheme="minorHAnsi" w:cstheme="majorHAnsi"/>
          <w:sz w:val="22"/>
          <w:szCs w:val="22"/>
        </w:rPr>
      </w:pPr>
      <w:r w:rsidRPr="00917846">
        <w:rPr>
          <w:rFonts w:asciiTheme="minorHAnsi" w:hAnsiTheme="minorHAnsi" w:cstheme="majorHAnsi"/>
          <w:b/>
          <w:sz w:val="22"/>
          <w:szCs w:val="22"/>
        </w:rPr>
        <w:t>BTC</w:t>
      </w:r>
      <w:r w:rsidRPr="00917846">
        <w:rPr>
          <w:rFonts w:asciiTheme="minorHAnsi" w:hAnsiTheme="minorHAnsi" w:cstheme="majorHAnsi"/>
          <w:sz w:val="22"/>
          <w:szCs w:val="22"/>
        </w:rPr>
        <w:tab/>
      </w:r>
      <w:r w:rsidRPr="00917846">
        <w:rPr>
          <w:rFonts w:asciiTheme="minorHAnsi" w:hAnsiTheme="minorHAnsi" w:cstheme="majorHAnsi"/>
          <w:sz w:val="22"/>
          <w:szCs w:val="22"/>
        </w:rPr>
        <w:tab/>
        <w:t>Blood, Tissues and Cells</w:t>
      </w:r>
    </w:p>
    <w:p w14:paraId="7CE4C6F2" w14:textId="77777777" w:rsidR="00F25365" w:rsidRPr="00917846" w:rsidRDefault="00F25365" w:rsidP="00F25365">
      <w:pPr>
        <w:pStyle w:val="Text1"/>
        <w:spacing w:after="60" w:line="264" w:lineRule="auto"/>
        <w:ind w:left="360"/>
        <w:rPr>
          <w:rFonts w:asciiTheme="minorHAnsi" w:hAnsiTheme="minorHAnsi" w:cstheme="majorHAnsi"/>
          <w:sz w:val="22"/>
          <w:szCs w:val="22"/>
        </w:rPr>
      </w:pPr>
      <w:r w:rsidRPr="00917846">
        <w:rPr>
          <w:rFonts w:asciiTheme="minorHAnsi" w:hAnsiTheme="minorHAnsi" w:cstheme="majorHAnsi"/>
          <w:b/>
          <w:sz w:val="22"/>
          <w:szCs w:val="22"/>
        </w:rPr>
        <w:t>CA</w:t>
      </w:r>
      <w:r w:rsidRPr="00917846">
        <w:rPr>
          <w:rFonts w:asciiTheme="minorHAnsi" w:hAnsiTheme="minorHAnsi" w:cstheme="majorHAnsi"/>
          <w:sz w:val="22"/>
          <w:szCs w:val="22"/>
        </w:rPr>
        <w:t xml:space="preserve"> </w:t>
      </w:r>
      <w:r w:rsidRPr="00917846">
        <w:rPr>
          <w:rFonts w:asciiTheme="minorHAnsi" w:hAnsiTheme="minorHAnsi" w:cstheme="majorHAnsi"/>
          <w:sz w:val="22"/>
          <w:szCs w:val="22"/>
        </w:rPr>
        <w:tab/>
      </w:r>
      <w:r w:rsidRPr="00917846">
        <w:rPr>
          <w:rFonts w:asciiTheme="minorHAnsi" w:hAnsiTheme="minorHAnsi" w:cstheme="majorHAnsi"/>
          <w:sz w:val="22"/>
          <w:szCs w:val="22"/>
        </w:rPr>
        <w:tab/>
        <w:t>Competent Authority</w:t>
      </w:r>
    </w:p>
    <w:p w14:paraId="16DAA626" w14:textId="2AC77E1F" w:rsidR="002737D2" w:rsidRPr="002737D2" w:rsidRDefault="002737D2" w:rsidP="00F25365">
      <w:pPr>
        <w:pStyle w:val="Text1"/>
        <w:spacing w:after="60" w:line="264" w:lineRule="auto"/>
        <w:ind w:left="360"/>
        <w:rPr>
          <w:rFonts w:asciiTheme="minorHAnsi" w:hAnsiTheme="minorHAnsi" w:cstheme="majorHAnsi"/>
          <w:sz w:val="22"/>
          <w:szCs w:val="22"/>
        </w:rPr>
      </w:pPr>
      <w:r>
        <w:rPr>
          <w:rFonts w:asciiTheme="minorHAnsi" w:hAnsiTheme="minorHAnsi" w:cstheme="majorHAnsi"/>
          <w:b/>
          <w:sz w:val="22"/>
          <w:szCs w:val="22"/>
        </w:rPr>
        <w:t>CPP</w:t>
      </w:r>
      <w:r>
        <w:rPr>
          <w:rFonts w:asciiTheme="minorHAnsi" w:hAnsiTheme="minorHAnsi" w:cstheme="majorHAnsi"/>
          <w:b/>
          <w:sz w:val="22"/>
          <w:szCs w:val="22"/>
        </w:rPr>
        <w:tab/>
      </w:r>
      <w:r>
        <w:rPr>
          <w:rFonts w:asciiTheme="minorHAnsi" w:hAnsiTheme="minorHAnsi" w:cstheme="majorHAnsi"/>
          <w:b/>
          <w:sz w:val="22"/>
          <w:szCs w:val="22"/>
        </w:rPr>
        <w:tab/>
      </w:r>
      <w:r>
        <w:rPr>
          <w:rFonts w:asciiTheme="minorHAnsi" w:hAnsiTheme="minorHAnsi" w:cstheme="majorHAnsi"/>
          <w:sz w:val="22"/>
          <w:szCs w:val="22"/>
        </w:rPr>
        <w:t>Critical Process Parameter</w:t>
      </w:r>
    </w:p>
    <w:p w14:paraId="26177FE3" w14:textId="3B2294AB" w:rsidR="00053FE9" w:rsidRDefault="00053FE9" w:rsidP="00F25365">
      <w:pPr>
        <w:pStyle w:val="Text1"/>
        <w:spacing w:after="60" w:line="264" w:lineRule="auto"/>
        <w:ind w:left="360"/>
        <w:rPr>
          <w:rFonts w:asciiTheme="minorHAnsi" w:hAnsiTheme="minorHAnsi" w:cstheme="majorHAnsi"/>
          <w:b/>
          <w:sz w:val="22"/>
          <w:szCs w:val="22"/>
        </w:rPr>
      </w:pPr>
      <w:r>
        <w:rPr>
          <w:rFonts w:asciiTheme="minorHAnsi" w:hAnsiTheme="minorHAnsi" w:cstheme="majorHAnsi"/>
          <w:b/>
          <w:sz w:val="22"/>
          <w:szCs w:val="22"/>
        </w:rPr>
        <w:t>ECDC</w:t>
      </w:r>
      <w:r>
        <w:rPr>
          <w:rFonts w:asciiTheme="minorHAnsi" w:hAnsiTheme="minorHAnsi" w:cstheme="majorHAnsi"/>
          <w:b/>
          <w:sz w:val="22"/>
          <w:szCs w:val="22"/>
        </w:rPr>
        <w:tab/>
      </w:r>
      <w:r w:rsidRPr="00053FE9">
        <w:rPr>
          <w:rFonts w:asciiTheme="minorHAnsi" w:hAnsiTheme="minorHAnsi" w:cstheme="majorHAnsi"/>
          <w:sz w:val="22"/>
          <w:szCs w:val="22"/>
        </w:rPr>
        <w:t>European Centre for Disease Prevention and Control</w:t>
      </w:r>
    </w:p>
    <w:p w14:paraId="054B19FE" w14:textId="6CC6EA4D" w:rsidR="00F25365" w:rsidRPr="00917846" w:rsidRDefault="00F25365" w:rsidP="00F25365">
      <w:pPr>
        <w:pStyle w:val="Text1"/>
        <w:spacing w:after="60" w:line="264" w:lineRule="auto"/>
        <w:ind w:left="360"/>
        <w:rPr>
          <w:rFonts w:asciiTheme="minorHAnsi" w:hAnsiTheme="minorHAnsi" w:cstheme="majorHAnsi"/>
          <w:sz w:val="22"/>
          <w:szCs w:val="22"/>
        </w:rPr>
      </w:pPr>
      <w:r w:rsidRPr="00917846">
        <w:rPr>
          <w:rFonts w:asciiTheme="minorHAnsi" w:hAnsiTheme="minorHAnsi" w:cstheme="majorHAnsi"/>
          <w:b/>
          <w:sz w:val="22"/>
          <w:szCs w:val="22"/>
        </w:rPr>
        <w:t xml:space="preserve">EUBD </w:t>
      </w:r>
      <w:r w:rsidRPr="00917846">
        <w:rPr>
          <w:rFonts w:asciiTheme="minorHAnsi" w:hAnsiTheme="minorHAnsi" w:cstheme="majorHAnsi"/>
          <w:sz w:val="22"/>
          <w:szCs w:val="22"/>
        </w:rPr>
        <w:tab/>
        <w:t xml:space="preserve">European Blood Directives </w:t>
      </w:r>
    </w:p>
    <w:p w14:paraId="2D30E078" w14:textId="77777777" w:rsidR="00F25365" w:rsidRDefault="00F25365" w:rsidP="00F25365">
      <w:pPr>
        <w:pStyle w:val="Text1"/>
        <w:spacing w:after="60" w:line="264" w:lineRule="auto"/>
        <w:ind w:left="360"/>
        <w:rPr>
          <w:rFonts w:asciiTheme="minorHAnsi" w:hAnsiTheme="minorHAnsi" w:cstheme="majorHAnsi"/>
          <w:sz w:val="22"/>
          <w:szCs w:val="22"/>
        </w:rPr>
      </w:pPr>
      <w:r w:rsidRPr="00917846">
        <w:rPr>
          <w:rFonts w:asciiTheme="minorHAnsi" w:hAnsiTheme="minorHAnsi" w:cstheme="majorHAnsi"/>
          <w:b/>
          <w:sz w:val="22"/>
          <w:szCs w:val="22"/>
        </w:rPr>
        <w:t>EUBTCD</w:t>
      </w:r>
      <w:r w:rsidRPr="00917846">
        <w:rPr>
          <w:rFonts w:asciiTheme="minorHAnsi" w:hAnsiTheme="minorHAnsi" w:cstheme="majorHAnsi"/>
          <w:sz w:val="22"/>
          <w:szCs w:val="22"/>
        </w:rPr>
        <w:t xml:space="preserve"> </w:t>
      </w:r>
      <w:r w:rsidRPr="00917846">
        <w:rPr>
          <w:rFonts w:asciiTheme="minorHAnsi" w:hAnsiTheme="minorHAnsi" w:cstheme="majorHAnsi"/>
          <w:sz w:val="22"/>
          <w:szCs w:val="22"/>
        </w:rPr>
        <w:tab/>
        <w:t>European Blood, Tissues and Cells Directives</w:t>
      </w:r>
    </w:p>
    <w:p w14:paraId="36C9165D" w14:textId="77777777" w:rsidR="00F25365" w:rsidRPr="00917846" w:rsidRDefault="00F25365" w:rsidP="00F25365">
      <w:pPr>
        <w:pStyle w:val="Text1"/>
        <w:spacing w:after="60" w:line="264" w:lineRule="auto"/>
        <w:ind w:left="360"/>
        <w:rPr>
          <w:rFonts w:asciiTheme="minorHAnsi" w:hAnsiTheme="minorHAnsi" w:cstheme="majorHAnsi"/>
          <w:sz w:val="22"/>
          <w:szCs w:val="22"/>
        </w:rPr>
      </w:pPr>
      <w:r w:rsidRPr="00917846">
        <w:rPr>
          <w:rFonts w:asciiTheme="minorHAnsi" w:hAnsiTheme="minorHAnsi" w:cstheme="majorHAnsi"/>
          <w:b/>
          <w:sz w:val="22"/>
          <w:szCs w:val="22"/>
        </w:rPr>
        <w:t xml:space="preserve">EUTCD </w:t>
      </w:r>
      <w:r w:rsidRPr="00917846">
        <w:rPr>
          <w:rFonts w:asciiTheme="minorHAnsi" w:hAnsiTheme="minorHAnsi" w:cstheme="majorHAnsi"/>
          <w:sz w:val="22"/>
          <w:szCs w:val="22"/>
        </w:rPr>
        <w:tab/>
        <w:t xml:space="preserve">European Tissues and Cells Directives </w:t>
      </w:r>
    </w:p>
    <w:p w14:paraId="5B6BBC3C" w14:textId="77777777" w:rsidR="00F25365" w:rsidRPr="00917846" w:rsidRDefault="00F25365" w:rsidP="00F25365">
      <w:pPr>
        <w:pStyle w:val="Text1"/>
        <w:spacing w:after="60" w:line="264" w:lineRule="auto"/>
        <w:ind w:left="360"/>
        <w:rPr>
          <w:rFonts w:asciiTheme="minorHAnsi" w:hAnsiTheme="minorHAnsi" w:cstheme="majorHAnsi"/>
          <w:b/>
          <w:sz w:val="22"/>
          <w:szCs w:val="22"/>
        </w:rPr>
      </w:pPr>
      <w:r w:rsidRPr="00917846">
        <w:rPr>
          <w:rFonts w:asciiTheme="minorHAnsi" w:hAnsiTheme="minorHAnsi" w:cstheme="majorHAnsi"/>
          <w:b/>
          <w:sz w:val="22"/>
          <w:szCs w:val="22"/>
        </w:rPr>
        <w:t>GAPP</w:t>
      </w:r>
      <w:r w:rsidRPr="00917846">
        <w:rPr>
          <w:rFonts w:asciiTheme="minorHAnsi" w:hAnsiTheme="minorHAnsi" w:cstheme="majorHAnsi"/>
          <w:b/>
          <w:sz w:val="22"/>
          <w:szCs w:val="22"/>
        </w:rPr>
        <w:tab/>
      </w:r>
      <w:r w:rsidRPr="00917846">
        <w:rPr>
          <w:rFonts w:asciiTheme="minorHAnsi" w:hAnsiTheme="minorHAnsi" w:cstheme="majorHAnsi"/>
          <w:sz w:val="22"/>
          <w:szCs w:val="22"/>
        </w:rPr>
        <w:t>Facilitatin</w:t>
      </w:r>
      <w:r w:rsidRPr="00917846">
        <w:rPr>
          <w:rFonts w:asciiTheme="minorHAnsi" w:hAnsiTheme="minorHAnsi" w:cstheme="majorHAnsi"/>
          <w:sz w:val="22"/>
          <w:szCs w:val="22"/>
          <w:u w:val="single"/>
        </w:rPr>
        <w:t>g</w:t>
      </w:r>
      <w:r w:rsidRPr="00917846">
        <w:rPr>
          <w:rFonts w:asciiTheme="minorHAnsi" w:hAnsiTheme="minorHAnsi" w:cstheme="majorHAnsi"/>
          <w:sz w:val="22"/>
          <w:szCs w:val="22"/>
        </w:rPr>
        <w:t xml:space="preserve"> the </w:t>
      </w:r>
      <w:r w:rsidRPr="00917846">
        <w:rPr>
          <w:rFonts w:asciiTheme="minorHAnsi" w:hAnsiTheme="minorHAnsi" w:cstheme="majorHAnsi"/>
          <w:sz w:val="22"/>
          <w:szCs w:val="22"/>
          <w:u w:val="single"/>
        </w:rPr>
        <w:t>A</w:t>
      </w:r>
      <w:r w:rsidRPr="00917846">
        <w:rPr>
          <w:rFonts w:asciiTheme="minorHAnsi" w:hAnsiTheme="minorHAnsi" w:cstheme="majorHAnsi"/>
          <w:sz w:val="22"/>
          <w:szCs w:val="22"/>
        </w:rPr>
        <w:t xml:space="preserve">uthorisation of </w:t>
      </w:r>
      <w:r w:rsidRPr="00917846">
        <w:rPr>
          <w:rFonts w:asciiTheme="minorHAnsi" w:hAnsiTheme="minorHAnsi" w:cstheme="majorHAnsi"/>
          <w:sz w:val="22"/>
          <w:szCs w:val="22"/>
          <w:u w:val="single"/>
        </w:rPr>
        <w:t>P</w:t>
      </w:r>
      <w:r w:rsidRPr="00917846">
        <w:rPr>
          <w:rFonts w:asciiTheme="minorHAnsi" w:hAnsiTheme="minorHAnsi" w:cstheme="majorHAnsi"/>
          <w:sz w:val="22"/>
          <w:szCs w:val="22"/>
        </w:rPr>
        <w:t xml:space="preserve">reparation </w:t>
      </w:r>
      <w:r w:rsidRPr="00917846">
        <w:rPr>
          <w:rFonts w:asciiTheme="minorHAnsi" w:hAnsiTheme="minorHAnsi" w:cstheme="majorHAnsi"/>
          <w:sz w:val="22"/>
          <w:szCs w:val="22"/>
          <w:u w:val="single"/>
        </w:rPr>
        <w:t>P</w:t>
      </w:r>
      <w:r w:rsidRPr="00917846">
        <w:rPr>
          <w:rFonts w:asciiTheme="minorHAnsi" w:hAnsiTheme="minorHAnsi" w:cstheme="majorHAnsi"/>
          <w:sz w:val="22"/>
          <w:szCs w:val="22"/>
        </w:rPr>
        <w:t>rocess for blood, tissues and cells</w:t>
      </w:r>
    </w:p>
    <w:p w14:paraId="1311610A" w14:textId="2577E3B9" w:rsidR="00002656" w:rsidRDefault="00002656" w:rsidP="00F25365">
      <w:pPr>
        <w:pStyle w:val="Text1"/>
        <w:spacing w:after="60" w:line="264" w:lineRule="auto"/>
        <w:ind w:left="360"/>
        <w:rPr>
          <w:rFonts w:asciiTheme="majorHAnsi" w:hAnsiTheme="majorHAnsi" w:cstheme="majorHAnsi"/>
          <w:b/>
          <w:sz w:val="22"/>
          <w:szCs w:val="22"/>
        </w:rPr>
      </w:pPr>
      <w:r>
        <w:rPr>
          <w:rFonts w:asciiTheme="majorHAnsi" w:hAnsiTheme="majorHAnsi" w:cstheme="majorHAnsi"/>
          <w:b/>
          <w:sz w:val="22"/>
          <w:szCs w:val="22"/>
        </w:rPr>
        <w:t>HIV</w:t>
      </w:r>
      <w:r>
        <w:rPr>
          <w:rFonts w:asciiTheme="majorHAnsi" w:hAnsiTheme="majorHAnsi" w:cstheme="majorHAnsi"/>
          <w:b/>
          <w:sz w:val="22"/>
          <w:szCs w:val="22"/>
        </w:rPr>
        <w:tab/>
      </w:r>
      <w:r>
        <w:rPr>
          <w:rFonts w:asciiTheme="majorHAnsi" w:hAnsiTheme="majorHAnsi" w:cstheme="majorHAnsi"/>
          <w:b/>
          <w:sz w:val="22"/>
          <w:szCs w:val="22"/>
        </w:rPr>
        <w:tab/>
      </w:r>
      <w:r w:rsidRPr="00002656">
        <w:rPr>
          <w:rFonts w:asciiTheme="majorHAnsi" w:hAnsiTheme="majorHAnsi" w:cstheme="majorHAnsi"/>
          <w:sz w:val="22"/>
          <w:szCs w:val="22"/>
        </w:rPr>
        <w:t>Human Immunodeficiency Virus</w:t>
      </w:r>
    </w:p>
    <w:p w14:paraId="20CC2C0B" w14:textId="37420685" w:rsidR="001B4661" w:rsidRDefault="001B4661" w:rsidP="00F25365">
      <w:pPr>
        <w:pStyle w:val="Text1"/>
        <w:spacing w:after="60" w:line="264" w:lineRule="auto"/>
        <w:ind w:left="360"/>
        <w:rPr>
          <w:rFonts w:asciiTheme="majorHAnsi" w:hAnsiTheme="majorHAnsi" w:cstheme="majorHAnsi"/>
          <w:b/>
          <w:sz w:val="22"/>
          <w:szCs w:val="22"/>
        </w:rPr>
      </w:pPr>
      <w:r>
        <w:rPr>
          <w:rFonts w:asciiTheme="majorHAnsi" w:hAnsiTheme="majorHAnsi" w:cstheme="majorHAnsi"/>
          <w:b/>
          <w:sz w:val="22"/>
          <w:szCs w:val="22"/>
        </w:rPr>
        <w:t>HTLV</w:t>
      </w:r>
      <w:r>
        <w:rPr>
          <w:rFonts w:asciiTheme="majorHAnsi" w:hAnsiTheme="majorHAnsi" w:cstheme="majorHAnsi"/>
          <w:b/>
          <w:sz w:val="22"/>
          <w:szCs w:val="22"/>
        </w:rPr>
        <w:tab/>
      </w:r>
      <w:r w:rsidRPr="001B4661">
        <w:rPr>
          <w:rFonts w:asciiTheme="majorHAnsi" w:hAnsiTheme="majorHAnsi" w:cstheme="majorHAnsi"/>
          <w:sz w:val="22"/>
          <w:szCs w:val="22"/>
        </w:rPr>
        <w:t>Human T-cell leukaemia virus</w:t>
      </w:r>
    </w:p>
    <w:p w14:paraId="78C58A59" w14:textId="597962B2" w:rsidR="00F25365" w:rsidRPr="00917846" w:rsidRDefault="00F25365" w:rsidP="00F25365">
      <w:pPr>
        <w:pStyle w:val="Text1"/>
        <w:spacing w:after="60" w:line="264" w:lineRule="auto"/>
        <w:ind w:left="360"/>
        <w:rPr>
          <w:rFonts w:asciiTheme="majorHAnsi" w:hAnsiTheme="majorHAnsi" w:cstheme="majorHAnsi"/>
          <w:sz w:val="22"/>
          <w:szCs w:val="22"/>
        </w:rPr>
      </w:pPr>
      <w:r w:rsidRPr="00917846">
        <w:rPr>
          <w:rFonts w:asciiTheme="majorHAnsi" w:hAnsiTheme="majorHAnsi" w:cstheme="majorHAnsi"/>
          <w:b/>
          <w:sz w:val="22"/>
          <w:szCs w:val="22"/>
        </w:rPr>
        <w:t>JA</w:t>
      </w:r>
      <w:r w:rsidRPr="00917846">
        <w:rPr>
          <w:rFonts w:asciiTheme="majorHAnsi" w:hAnsiTheme="majorHAnsi" w:cstheme="majorHAnsi"/>
          <w:sz w:val="22"/>
          <w:szCs w:val="22"/>
        </w:rPr>
        <w:t xml:space="preserve"> </w:t>
      </w:r>
      <w:r w:rsidRPr="00917846">
        <w:rPr>
          <w:rFonts w:asciiTheme="majorHAnsi" w:hAnsiTheme="majorHAnsi" w:cstheme="majorHAnsi"/>
          <w:sz w:val="22"/>
          <w:szCs w:val="22"/>
        </w:rPr>
        <w:tab/>
      </w:r>
      <w:r w:rsidRPr="00917846">
        <w:rPr>
          <w:rFonts w:asciiTheme="majorHAnsi" w:hAnsiTheme="majorHAnsi" w:cstheme="majorHAnsi"/>
          <w:sz w:val="22"/>
          <w:szCs w:val="22"/>
        </w:rPr>
        <w:tab/>
        <w:t>Joint Action</w:t>
      </w:r>
    </w:p>
    <w:p w14:paraId="4D596F8B" w14:textId="77777777" w:rsidR="00F25365" w:rsidRPr="00917846" w:rsidRDefault="00F25365" w:rsidP="00F25365">
      <w:pPr>
        <w:pStyle w:val="Text1"/>
        <w:spacing w:after="60" w:line="264" w:lineRule="auto"/>
        <w:ind w:left="360"/>
        <w:rPr>
          <w:rFonts w:asciiTheme="minorHAnsi" w:hAnsiTheme="minorHAnsi" w:cstheme="majorHAnsi"/>
          <w:b/>
          <w:sz w:val="22"/>
          <w:szCs w:val="22"/>
        </w:rPr>
      </w:pPr>
      <w:r w:rsidRPr="00917846">
        <w:rPr>
          <w:rFonts w:asciiTheme="minorHAnsi" w:hAnsiTheme="minorHAnsi" w:cstheme="majorHAnsi"/>
          <w:b/>
          <w:sz w:val="22"/>
          <w:szCs w:val="22"/>
        </w:rPr>
        <w:t>MAR</w:t>
      </w:r>
      <w:r w:rsidRPr="00917846">
        <w:rPr>
          <w:rFonts w:asciiTheme="minorHAnsi" w:hAnsiTheme="minorHAnsi" w:cstheme="majorHAnsi"/>
          <w:b/>
          <w:sz w:val="22"/>
          <w:szCs w:val="22"/>
        </w:rPr>
        <w:tab/>
      </w:r>
      <w:r w:rsidRPr="00917846">
        <w:rPr>
          <w:rFonts w:asciiTheme="minorHAnsi" w:hAnsiTheme="minorHAnsi" w:cstheme="majorHAnsi"/>
          <w:sz w:val="22"/>
          <w:szCs w:val="22"/>
        </w:rPr>
        <w:t>Medically Assisted Reproduction</w:t>
      </w:r>
    </w:p>
    <w:p w14:paraId="7B190108" w14:textId="77777777" w:rsidR="00F25365" w:rsidRPr="00917846" w:rsidRDefault="00F25365" w:rsidP="00F25365">
      <w:pPr>
        <w:pStyle w:val="Text1"/>
        <w:spacing w:after="60" w:line="264" w:lineRule="auto"/>
        <w:ind w:left="360"/>
        <w:rPr>
          <w:rFonts w:asciiTheme="minorHAnsi" w:hAnsiTheme="minorHAnsi" w:cstheme="majorHAnsi"/>
          <w:b/>
          <w:sz w:val="22"/>
          <w:szCs w:val="22"/>
        </w:rPr>
      </w:pPr>
      <w:r w:rsidRPr="00917846">
        <w:rPr>
          <w:rFonts w:asciiTheme="minorHAnsi" w:hAnsiTheme="minorHAnsi" w:cstheme="majorHAnsi"/>
          <w:b/>
          <w:sz w:val="22"/>
          <w:szCs w:val="22"/>
        </w:rPr>
        <w:t>MS</w:t>
      </w:r>
      <w:r w:rsidRPr="00917846">
        <w:rPr>
          <w:rFonts w:asciiTheme="minorHAnsi" w:hAnsiTheme="minorHAnsi" w:cstheme="majorHAnsi"/>
          <w:sz w:val="22"/>
          <w:szCs w:val="22"/>
        </w:rPr>
        <w:t xml:space="preserve"> </w:t>
      </w:r>
      <w:r w:rsidRPr="00917846">
        <w:rPr>
          <w:rFonts w:asciiTheme="minorHAnsi" w:hAnsiTheme="minorHAnsi" w:cstheme="majorHAnsi"/>
          <w:sz w:val="22"/>
          <w:szCs w:val="22"/>
        </w:rPr>
        <w:tab/>
      </w:r>
      <w:r w:rsidRPr="00917846">
        <w:rPr>
          <w:rFonts w:asciiTheme="minorHAnsi" w:hAnsiTheme="minorHAnsi" w:cstheme="majorHAnsi"/>
          <w:sz w:val="22"/>
          <w:szCs w:val="22"/>
        </w:rPr>
        <w:tab/>
        <w:t>Member State</w:t>
      </w:r>
    </w:p>
    <w:p w14:paraId="3C50941F" w14:textId="7B48135E" w:rsidR="001D78F2" w:rsidRDefault="001D78F2" w:rsidP="00F25365">
      <w:pPr>
        <w:pStyle w:val="Text1"/>
        <w:spacing w:after="60" w:line="264" w:lineRule="auto"/>
        <w:ind w:left="360"/>
        <w:rPr>
          <w:rFonts w:asciiTheme="minorHAnsi" w:hAnsiTheme="minorHAnsi" w:cstheme="majorHAnsi"/>
          <w:b/>
          <w:sz w:val="22"/>
          <w:szCs w:val="22"/>
        </w:rPr>
      </w:pPr>
      <w:r>
        <w:rPr>
          <w:rFonts w:asciiTheme="minorHAnsi" w:hAnsiTheme="minorHAnsi" w:cstheme="majorHAnsi"/>
          <w:b/>
          <w:sz w:val="22"/>
          <w:szCs w:val="22"/>
        </w:rPr>
        <w:t>NAT</w:t>
      </w:r>
      <w:r>
        <w:rPr>
          <w:rFonts w:asciiTheme="minorHAnsi" w:hAnsiTheme="minorHAnsi" w:cstheme="majorHAnsi"/>
          <w:b/>
          <w:sz w:val="22"/>
          <w:szCs w:val="22"/>
        </w:rPr>
        <w:tab/>
      </w:r>
      <w:r w:rsidR="00483591" w:rsidRPr="00483591">
        <w:rPr>
          <w:rFonts w:asciiTheme="minorHAnsi" w:hAnsiTheme="minorHAnsi" w:cstheme="majorHAnsi"/>
          <w:sz w:val="22"/>
          <w:szCs w:val="22"/>
        </w:rPr>
        <w:t>nucleic acid amplification technique</w:t>
      </w:r>
    </w:p>
    <w:p w14:paraId="66836FFC" w14:textId="3A4D2350" w:rsidR="00F25365" w:rsidRPr="00917846" w:rsidRDefault="00F25365" w:rsidP="00F25365">
      <w:pPr>
        <w:pStyle w:val="Text1"/>
        <w:spacing w:after="60" w:line="264" w:lineRule="auto"/>
        <w:ind w:left="360"/>
        <w:rPr>
          <w:rFonts w:asciiTheme="minorHAnsi" w:hAnsiTheme="minorHAnsi" w:cstheme="majorHAnsi"/>
          <w:sz w:val="22"/>
          <w:szCs w:val="22"/>
        </w:rPr>
      </w:pPr>
      <w:r w:rsidRPr="00917846">
        <w:rPr>
          <w:rFonts w:asciiTheme="minorHAnsi" w:hAnsiTheme="minorHAnsi" w:cstheme="majorHAnsi"/>
          <w:b/>
          <w:sz w:val="22"/>
          <w:szCs w:val="22"/>
        </w:rPr>
        <w:t>PPA</w:t>
      </w:r>
      <w:r w:rsidRPr="00917846">
        <w:rPr>
          <w:rFonts w:asciiTheme="minorHAnsi" w:hAnsiTheme="minorHAnsi" w:cstheme="majorHAnsi"/>
          <w:sz w:val="22"/>
          <w:szCs w:val="22"/>
        </w:rPr>
        <w:t xml:space="preserve"> </w:t>
      </w:r>
      <w:r w:rsidRPr="00917846">
        <w:rPr>
          <w:rFonts w:asciiTheme="minorHAnsi" w:hAnsiTheme="minorHAnsi" w:cstheme="majorHAnsi"/>
          <w:sz w:val="22"/>
          <w:szCs w:val="22"/>
        </w:rPr>
        <w:tab/>
        <w:t>Preparation Process Authorisation</w:t>
      </w:r>
    </w:p>
    <w:p w14:paraId="5B6BF135" w14:textId="77777777" w:rsidR="00F25365" w:rsidRDefault="00F25365" w:rsidP="00F25365">
      <w:pPr>
        <w:pStyle w:val="Text1"/>
        <w:spacing w:after="60" w:line="264" w:lineRule="auto"/>
        <w:ind w:left="357"/>
        <w:rPr>
          <w:rFonts w:asciiTheme="minorHAnsi" w:hAnsiTheme="minorHAnsi" w:cstheme="majorHAnsi"/>
          <w:sz w:val="22"/>
          <w:szCs w:val="22"/>
        </w:rPr>
      </w:pPr>
      <w:r w:rsidRPr="00917846">
        <w:rPr>
          <w:rFonts w:asciiTheme="minorHAnsi" w:hAnsiTheme="minorHAnsi" w:cstheme="majorHAnsi"/>
          <w:b/>
          <w:sz w:val="22"/>
          <w:szCs w:val="22"/>
        </w:rPr>
        <w:t>PPD</w:t>
      </w:r>
      <w:r w:rsidRPr="00917846">
        <w:rPr>
          <w:rFonts w:asciiTheme="minorHAnsi" w:hAnsiTheme="minorHAnsi" w:cstheme="majorHAnsi"/>
          <w:b/>
          <w:sz w:val="22"/>
          <w:szCs w:val="22"/>
        </w:rPr>
        <w:tab/>
      </w:r>
      <w:r w:rsidRPr="00917846">
        <w:rPr>
          <w:rFonts w:asciiTheme="minorHAnsi" w:hAnsiTheme="minorHAnsi" w:cstheme="majorHAnsi"/>
          <w:sz w:val="22"/>
          <w:szCs w:val="22"/>
        </w:rPr>
        <w:t>Preparation Process Dossier</w:t>
      </w:r>
    </w:p>
    <w:p w14:paraId="3EC4EF04" w14:textId="3BD3B599" w:rsidR="00E7024D" w:rsidRDefault="00E7024D" w:rsidP="00F25365">
      <w:pPr>
        <w:pStyle w:val="Text1"/>
        <w:spacing w:after="60" w:line="264" w:lineRule="auto"/>
        <w:ind w:left="360"/>
        <w:rPr>
          <w:rFonts w:asciiTheme="minorHAnsi" w:hAnsiTheme="minorHAnsi" w:cstheme="majorHAnsi"/>
          <w:sz w:val="22"/>
          <w:szCs w:val="22"/>
        </w:rPr>
      </w:pPr>
      <w:r>
        <w:rPr>
          <w:rFonts w:asciiTheme="minorHAnsi" w:hAnsiTheme="minorHAnsi" w:cstheme="majorHAnsi"/>
          <w:b/>
          <w:sz w:val="22"/>
          <w:szCs w:val="22"/>
        </w:rPr>
        <w:t>PRT</w:t>
      </w:r>
      <w:r>
        <w:rPr>
          <w:rFonts w:asciiTheme="minorHAnsi" w:hAnsiTheme="minorHAnsi" w:cstheme="majorHAnsi"/>
          <w:b/>
          <w:sz w:val="22"/>
          <w:szCs w:val="22"/>
        </w:rPr>
        <w:tab/>
      </w:r>
      <w:r>
        <w:rPr>
          <w:rFonts w:asciiTheme="minorHAnsi" w:hAnsiTheme="minorHAnsi" w:cstheme="majorHAnsi"/>
          <w:b/>
          <w:sz w:val="22"/>
          <w:szCs w:val="22"/>
        </w:rPr>
        <w:tab/>
      </w:r>
      <w:r w:rsidRPr="00E7024D">
        <w:rPr>
          <w:rFonts w:asciiTheme="minorHAnsi" w:hAnsiTheme="minorHAnsi" w:cstheme="majorHAnsi"/>
          <w:sz w:val="22"/>
          <w:szCs w:val="22"/>
        </w:rPr>
        <w:t>Pathogen Reduction Technology</w:t>
      </w:r>
    </w:p>
    <w:p w14:paraId="59878750" w14:textId="2090391A" w:rsidR="00864EDB" w:rsidRDefault="00864EDB" w:rsidP="00F25365">
      <w:pPr>
        <w:pStyle w:val="Text1"/>
        <w:spacing w:after="60" w:line="264" w:lineRule="auto"/>
        <w:ind w:left="360"/>
        <w:rPr>
          <w:rFonts w:asciiTheme="minorHAnsi" w:hAnsiTheme="minorHAnsi" w:cstheme="majorHAnsi"/>
          <w:b/>
          <w:sz w:val="22"/>
          <w:szCs w:val="22"/>
        </w:rPr>
      </w:pPr>
      <w:r>
        <w:rPr>
          <w:rFonts w:asciiTheme="minorHAnsi" w:hAnsiTheme="minorHAnsi" w:cstheme="majorHAnsi"/>
          <w:b/>
          <w:sz w:val="22"/>
          <w:szCs w:val="22"/>
        </w:rPr>
        <w:t>RMM</w:t>
      </w:r>
      <w:r>
        <w:rPr>
          <w:rFonts w:asciiTheme="minorHAnsi" w:hAnsiTheme="minorHAnsi" w:cstheme="majorHAnsi"/>
          <w:b/>
          <w:sz w:val="22"/>
          <w:szCs w:val="22"/>
        </w:rPr>
        <w:tab/>
      </w:r>
      <w:r w:rsidRPr="00864EDB">
        <w:rPr>
          <w:rFonts w:asciiTheme="minorHAnsi" w:hAnsiTheme="minorHAnsi" w:cstheme="majorHAnsi"/>
          <w:sz w:val="22"/>
          <w:szCs w:val="22"/>
        </w:rPr>
        <w:t>rapid microbiological methods</w:t>
      </w:r>
    </w:p>
    <w:p w14:paraId="43EA84E6" w14:textId="1AC02CE8" w:rsidR="00E7024D" w:rsidRDefault="00E7024D" w:rsidP="00F25365">
      <w:pPr>
        <w:pStyle w:val="Text1"/>
        <w:spacing w:after="60" w:line="264" w:lineRule="auto"/>
        <w:ind w:left="360"/>
        <w:rPr>
          <w:rFonts w:asciiTheme="minorHAnsi" w:hAnsiTheme="minorHAnsi" w:cstheme="majorHAnsi"/>
          <w:b/>
          <w:sz w:val="22"/>
          <w:szCs w:val="22"/>
        </w:rPr>
      </w:pPr>
      <w:r>
        <w:rPr>
          <w:rFonts w:asciiTheme="minorHAnsi" w:hAnsiTheme="minorHAnsi" w:cstheme="majorHAnsi"/>
          <w:b/>
          <w:sz w:val="22"/>
          <w:szCs w:val="22"/>
        </w:rPr>
        <w:t>SAL</w:t>
      </w:r>
      <w:r>
        <w:rPr>
          <w:rFonts w:asciiTheme="minorHAnsi" w:hAnsiTheme="minorHAnsi" w:cstheme="majorHAnsi"/>
          <w:b/>
          <w:sz w:val="22"/>
          <w:szCs w:val="22"/>
        </w:rPr>
        <w:tab/>
      </w:r>
      <w:r>
        <w:rPr>
          <w:rFonts w:asciiTheme="minorHAnsi" w:hAnsiTheme="minorHAnsi" w:cstheme="majorHAnsi"/>
          <w:b/>
          <w:sz w:val="22"/>
          <w:szCs w:val="22"/>
        </w:rPr>
        <w:tab/>
      </w:r>
      <w:r w:rsidRPr="00E7024D">
        <w:rPr>
          <w:rFonts w:asciiTheme="minorHAnsi" w:hAnsiTheme="minorHAnsi" w:cstheme="majorHAnsi"/>
          <w:sz w:val="22"/>
          <w:szCs w:val="22"/>
        </w:rPr>
        <w:t>Sterility Assurance Level</w:t>
      </w:r>
    </w:p>
    <w:p w14:paraId="678114A0" w14:textId="45ADFCB8" w:rsidR="00F25365" w:rsidRPr="00917846" w:rsidRDefault="00F25365" w:rsidP="00F25365">
      <w:pPr>
        <w:pStyle w:val="Text1"/>
        <w:spacing w:after="60" w:line="264" w:lineRule="auto"/>
        <w:ind w:left="360"/>
        <w:rPr>
          <w:rFonts w:asciiTheme="minorHAnsi" w:hAnsiTheme="minorHAnsi" w:cstheme="majorHAnsi"/>
          <w:sz w:val="22"/>
          <w:szCs w:val="22"/>
        </w:rPr>
      </w:pPr>
      <w:r w:rsidRPr="00917846">
        <w:rPr>
          <w:rFonts w:asciiTheme="minorHAnsi" w:hAnsiTheme="minorHAnsi" w:cstheme="majorHAnsi"/>
          <w:b/>
          <w:sz w:val="22"/>
          <w:szCs w:val="22"/>
        </w:rPr>
        <w:t>TE</w:t>
      </w:r>
      <w:r w:rsidRPr="00917846">
        <w:rPr>
          <w:rFonts w:asciiTheme="minorHAnsi" w:hAnsiTheme="minorHAnsi" w:cstheme="majorHAnsi"/>
          <w:sz w:val="22"/>
          <w:szCs w:val="22"/>
        </w:rPr>
        <w:t xml:space="preserve"> </w:t>
      </w:r>
      <w:r w:rsidRPr="00917846">
        <w:rPr>
          <w:rFonts w:asciiTheme="minorHAnsi" w:hAnsiTheme="minorHAnsi" w:cstheme="majorHAnsi"/>
          <w:sz w:val="22"/>
          <w:szCs w:val="22"/>
        </w:rPr>
        <w:tab/>
      </w:r>
      <w:r w:rsidRPr="00917846">
        <w:rPr>
          <w:rFonts w:asciiTheme="minorHAnsi" w:hAnsiTheme="minorHAnsi" w:cstheme="majorHAnsi"/>
          <w:sz w:val="22"/>
          <w:szCs w:val="22"/>
        </w:rPr>
        <w:tab/>
        <w:t>Tissue Establishment</w:t>
      </w:r>
    </w:p>
    <w:p w14:paraId="177A783D" w14:textId="4C664468" w:rsidR="00340748" w:rsidRPr="00340748" w:rsidRDefault="00340748" w:rsidP="00F25365">
      <w:pPr>
        <w:pStyle w:val="Text1"/>
        <w:spacing w:after="60" w:line="264" w:lineRule="auto"/>
        <w:ind w:left="1440" w:hanging="1080"/>
        <w:rPr>
          <w:rFonts w:asciiTheme="minorHAnsi" w:hAnsiTheme="minorHAnsi" w:cstheme="majorHAnsi"/>
          <w:sz w:val="22"/>
          <w:szCs w:val="22"/>
        </w:rPr>
      </w:pPr>
      <w:r>
        <w:rPr>
          <w:rFonts w:asciiTheme="minorHAnsi" w:hAnsiTheme="minorHAnsi" w:cstheme="majorHAnsi"/>
          <w:b/>
          <w:sz w:val="22"/>
          <w:szCs w:val="22"/>
        </w:rPr>
        <w:t>vCJD</w:t>
      </w:r>
      <w:r>
        <w:rPr>
          <w:rFonts w:asciiTheme="minorHAnsi" w:hAnsiTheme="minorHAnsi" w:cstheme="majorHAnsi"/>
          <w:b/>
          <w:sz w:val="22"/>
          <w:szCs w:val="22"/>
        </w:rPr>
        <w:tab/>
      </w:r>
      <w:r w:rsidRPr="00340748">
        <w:rPr>
          <w:rFonts w:asciiTheme="minorHAnsi" w:hAnsiTheme="minorHAnsi" w:cstheme="majorHAnsi"/>
          <w:sz w:val="22"/>
          <w:szCs w:val="22"/>
        </w:rPr>
        <w:t>variant Creutzfeldt-Jakob disease</w:t>
      </w:r>
    </w:p>
    <w:p w14:paraId="065E988E" w14:textId="604D7B27" w:rsidR="00F25365" w:rsidRDefault="00F25365" w:rsidP="00F25365">
      <w:pPr>
        <w:pStyle w:val="Text1"/>
        <w:spacing w:after="60" w:line="264" w:lineRule="auto"/>
        <w:ind w:left="1440" w:hanging="1080"/>
        <w:rPr>
          <w:rFonts w:asciiTheme="minorHAnsi" w:hAnsiTheme="minorHAnsi" w:cstheme="majorHAnsi"/>
          <w:sz w:val="22"/>
          <w:szCs w:val="22"/>
        </w:rPr>
      </w:pPr>
      <w:r w:rsidRPr="00917846">
        <w:rPr>
          <w:rFonts w:asciiTheme="minorHAnsi" w:hAnsiTheme="minorHAnsi" w:cstheme="majorHAnsi"/>
          <w:b/>
          <w:sz w:val="22"/>
          <w:szCs w:val="22"/>
        </w:rPr>
        <w:t>VISTART</w:t>
      </w:r>
      <w:r w:rsidRPr="00917846">
        <w:rPr>
          <w:rFonts w:asciiTheme="minorHAnsi" w:hAnsiTheme="minorHAnsi" w:cstheme="majorHAnsi"/>
          <w:sz w:val="22"/>
          <w:szCs w:val="22"/>
        </w:rPr>
        <w:t xml:space="preserve"> </w:t>
      </w:r>
      <w:r w:rsidRPr="00917846">
        <w:rPr>
          <w:rFonts w:asciiTheme="minorHAnsi" w:hAnsiTheme="minorHAnsi" w:cstheme="majorHAnsi"/>
          <w:sz w:val="22"/>
          <w:szCs w:val="22"/>
        </w:rPr>
        <w:tab/>
        <w:t>Vigilance and Inspection for the Safety of Transfusion, Assisted Reproduction and Transplantation</w:t>
      </w:r>
    </w:p>
    <w:p w14:paraId="188239C0" w14:textId="393C8635" w:rsidR="00B73427" w:rsidRDefault="00B73427" w:rsidP="00F25365">
      <w:pPr>
        <w:pStyle w:val="Text1"/>
        <w:spacing w:after="60" w:line="264" w:lineRule="auto"/>
        <w:ind w:left="1440" w:hanging="1080"/>
        <w:rPr>
          <w:rFonts w:asciiTheme="minorHAnsi" w:hAnsiTheme="minorHAnsi" w:cstheme="majorHAnsi"/>
          <w:b/>
          <w:sz w:val="22"/>
          <w:szCs w:val="22"/>
        </w:rPr>
      </w:pPr>
      <w:r>
        <w:rPr>
          <w:rFonts w:asciiTheme="minorHAnsi" w:hAnsiTheme="minorHAnsi" w:cstheme="majorHAnsi"/>
          <w:b/>
          <w:sz w:val="22"/>
          <w:szCs w:val="22"/>
        </w:rPr>
        <w:t>WHO</w:t>
      </w:r>
      <w:r>
        <w:rPr>
          <w:rFonts w:asciiTheme="minorHAnsi" w:hAnsiTheme="minorHAnsi" w:cstheme="majorHAnsi"/>
          <w:b/>
          <w:sz w:val="22"/>
          <w:szCs w:val="22"/>
        </w:rPr>
        <w:tab/>
      </w:r>
      <w:r w:rsidR="00F16102">
        <w:rPr>
          <w:rFonts w:asciiTheme="minorHAnsi" w:hAnsiTheme="minorHAnsi" w:cstheme="majorHAnsi"/>
          <w:sz w:val="22"/>
          <w:szCs w:val="22"/>
        </w:rPr>
        <w:t>World Health Organiz</w:t>
      </w:r>
      <w:r w:rsidRPr="00B73427">
        <w:rPr>
          <w:rFonts w:asciiTheme="minorHAnsi" w:hAnsiTheme="minorHAnsi" w:cstheme="majorHAnsi"/>
          <w:sz w:val="22"/>
          <w:szCs w:val="22"/>
        </w:rPr>
        <w:t>ation</w:t>
      </w:r>
    </w:p>
    <w:p w14:paraId="6EAC0740" w14:textId="6ECF0F13" w:rsidR="00F25365" w:rsidRDefault="00F25365" w:rsidP="00F25365">
      <w:pPr>
        <w:pStyle w:val="Text1"/>
        <w:spacing w:after="60" w:line="264" w:lineRule="auto"/>
        <w:ind w:left="1440" w:hanging="1080"/>
        <w:rPr>
          <w:rFonts w:asciiTheme="minorHAnsi" w:hAnsiTheme="minorHAnsi" w:cstheme="majorHAnsi"/>
          <w:sz w:val="22"/>
          <w:szCs w:val="22"/>
        </w:rPr>
      </w:pPr>
      <w:r w:rsidRPr="00917846">
        <w:rPr>
          <w:rFonts w:asciiTheme="minorHAnsi" w:hAnsiTheme="minorHAnsi" w:cstheme="majorHAnsi"/>
          <w:b/>
          <w:sz w:val="22"/>
          <w:szCs w:val="22"/>
        </w:rPr>
        <w:t>WP</w:t>
      </w:r>
      <w:r w:rsidRPr="00917846">
        <w:rPr>
          <w:rFonts w:asciiTheme="minorHAnsi" w:hAnsiTheme="minorHAnsi" w:cstheme="majorHAnsi"/>
          <w:sz w:val="22"/>
          <w:szCs w:val="22"/>
        </w:rPr>
        <w:t xml:space="preserve"> </w:t>
      </w:r>
      <w:r w:rsidRPr="00917846">
        <w:rPr>
          <w:rFonts w:asciiTheme="minorHAnsi" w:hAnsiTheme="minorHAnsi" w:cstheme="majorHAnsi"/>
          <w:sz w:val="22"/>
          <w:szCs w:val="22"/>
        </w:rPr>
        <w:tab/>
        <w:t>Work Package</w:t>
      </w:r>
    </w:p>
    <w:p w14:paraId="68EBB110" w14:textId="77777777" w:rsidR="00F25365" w:rsidRDefault="00F25365">
      <w:pPr>
        <w:rPr>
          <w:rFonts w:eastAsia="Times New Roman" w:cstheme="majorHAnsi"/>
          <w:sz w:val="22"/>
          <w:szCs w:val="22"/>
          <w:lang w:val="en-GB" w:eastAsia="en-US"/>
        </w:rPr>
      </w:pPr>
      <w:r>
        <w:rPr>
          <w:rFonts w:cstheme="majorHAnsi"/>
          <w:sz w:val="22"/>
          <w:szCs w:val="22"/>
        </w:rPr>
        <w:br w:type="page"/>
      </w:r>
    </w:p>
    <w:p w14:paraId="027A14E7" w14:textId="77777777" w:rsidR="00F25365" w:rsidRDefault="00F25365" w:rsidP="00F25365">
      <w:pPr>
        <w:pStyle w:val="Heading1"/>
      </w:pPr>
      <w:bookmarkStart w:id="54" w:name="_Toc36459905"/>
      <w:bookmarkStart w:id="55" w:name="_Toc41427186"/>
      <w:r w:rsidRPr="00F25365">
        <w:lastRenderedPageBreak/>
        <w:t>Definitions</w:t>
      </w:r>
      <w:bookmarkEnd w:id="54"/>
      <w:bookmarkEnd w:id="55"/>
      <w:r w:rsidRPr="00F25365">
        <w:t xml:space="preserve"> </w:t>
      </w:r>
    </w:p>
    <w:p w14:paraId="13BBC3D7" w14:textId="30140D58" w:rsidR="00F25365" w:rsidRDefault="00424F9B" w:rsidP="00A11CDD">
      <w:pPr>
        <w:pStyle w:val="BodytextAgency"/>
        <w:ind w:left="2160" w:hanging="2160"/>
        <w:jc w:val="both"/>
        <w:rPr>
          <w:rFonts w:asciiTheme="minorHAnsi" w:hAnsiTheme="minorHAnsi" w:cstheme="minorHAnsi"/>
          <w:sz w:val="24"/>
          <w:szCs w:val="24"/>
        </w:rPr>
      </w:pPr>
      <w:r w:rsidRPr="00CB44E2">
        <w:rPr>
          <w:rFonts w:asciiTheme="minorHAnsi" w:hAnsiTheme="minorHAnsi" w:cstheme="minorHAnsi"/>
          <w:b/>
          <w:sz w:val="24"/>
          <w:szCs w:val="24"/>
        </w:rPr>
        <w:t>Accreditation</w:t>
      </w:r>
      <w:r w:rsidRPr="00CB44E2">
        <w:rPr>
          <w:rFonts w:asciiTheme="minorHAnsi" w:hAnsiTheme="minorHAnsi" w:cstheme="minorHAnsi"/>
          <w:b/>
          <w:sz w:val="24"/>
          <w:szCs w:val="24"/>
        </w:rPr>
        <w:tab/>
      </w:r>
      <w:r w:rsidR="00F25365" w:rsidRPr="00CB44E2">
        <w:rPr>
          <w:rFonts w:asciiTheme="minorHAnsi" w:hAnsiTheme="minorHAnsi" w:cstheme="minorHAnsi"/>
          <w:sz w:val="24"/>
          <w:szCs w:val="24"/>
        </w:rPr>
        <w:t>The independent evaluation of conformity assessment bodies against recognised standards to carry out specific activities to ensure their impartiality and competence (ilac.org)</w:t>
      </w:r>
    </w:p>
    <w:p w14:paraId="28531D0D" w14:textId="2F8E1231" w:rsidR="006D2496" w:rsidRPr="006D2496" w:rsidRDefault="006D2496" w:rsidP="006D2496">
      <w:pPr>
        <w:ind w:left="2160" w:hanging="2160"/>
        <w:jc w:val="both"/>
        <w:rPr>
          <w:sz w:val="24"/>
          <w:szCs w:val="24"/>
        </w:rPr>
      </w:pPr>
      <w:r w:rsidRPr="00C80866">
        <w:rPr>
          <w:b/>
          <w:sz w:val="24"/>
          <w:szCs w:val="24"/>
        </w:rPr>
        <w:t xml:space="preserve">Analytical sensitivity </w:t>
      </w:r>
      <w:r w:rsidR="008F4117">
        <w:rPr>
          <w:b/>
          <w:sz w:val="24"/>
          <w:szCs w:val="24"/>
        </w:rPr>
        <w:tab/>
      </w:r>
      <w:r w:rsidR="008F4117" w:rsidRPr="008F4117">
        <w:rPr>
          <w:sz w:val="24"/>
          <w:szCs w:val="24"/>
        </w:rPr>
        <w:t>T</w:t>
      </w:r>
      <w:r w:rsidRPr="00C80866">
        <w:rPr>
          <w:sz w:val="24"/>
          <w:szCs w:val="24"/>
        </w:rPr>
        <w:t>he limit of detection, i.e. the smallest amount of the target marker that can be precisely detected</w:t>
      </w:r>
      <w:r>
        <w:rPr>
          <w:sz w:val="24"/>
          <w:szCs w:val="24"/>
        </w:rPr>
        <w:t xml:space="preserve"> (</w:t>
      </w:r>
      <w:r w:rsidRPr="00C80866">
        <w:rPr>
          <w:sz w:val="24"/>
          <w:szCs w:val="24"/>
        </w:rPr>
        <w:t>Official Journa</w:t>
      </w:r>
      <w:r>
        <w:rPr>
          <w:sz w:val="24"/>
          <w:szCs w:val="24"/>
        </w:rPr>
        <w:t xml:space="preserve">l of the European Union L 318/ Commission decision </w:t>
      </w:r>
      <w:r w:rsidRPr="002C2A9C">
        <w:rPr>
          <w:sz w:val="24"/>
          <w:szCs w:val="24"/>
        </w:rPr>
        <w:t>2009/886/EC</w:t>
      </w:r>
      <w:r>
        <w:rPr>
          <w:sz w:val="24"/>
          <w:szCs w:val="24"/>
        </w:rPr>
        <w:t>).</w:t>
      </w:r>
    </w:p>
    <w:p w14:paraId="1713F7BF" w14:textId="0205AAD8" w:rsidR="006D2496" w:rsidRPr="006D2496" w:rsidRDefault="006D2496" w:rsidP="006D2496">
      <w:pPr>
        <w:ind w:left="2160" w:hanging="2160"/>
        <w:jc w:val="both"/>
        <w:rPr>
          <w:sz w:val="24"/>
          <w:szCs w:val="24"/>
        </w:rPr>
      </w:pPr>
      <w:r w:rsidRPr="00C80866">
        <w:rPr>
          <w:b/>
          <w:sz w:val="24"/>
          <w:szCs w:val="24"/>
        </w:rPr>
        <w:t>Analytical specificity</w:t>
      </w:r>
      <w:r>
        <w:rPr>
          <w:sz w:val="24"/>
          <w:szCs w:val="24"/>
        </w:rPr>
        <w:tab/>
      </w:r>
      <w:r w:rsidR="008F4117">
        <w:rPr>
          <w:sz w:val="24"/>
          <w:szCs w:val="24"/>
        </w:rPr>
        <w:t>T</w:t>
      </w:r>
      <w:r w:rsidRPr="00C80866">
        <w:rPr>
          <w:sz w:val="24"/>
          <w:szCs w:val="24"/>
        </w:rPr>
        <w:t>he ability of the method to determine solely the target marker</w:t>
      </w:r>
      <w:r>
        <w:rPr>
          <w:sz w:val="24"/>
          <w:szCs w:val="24"/>
        </w:rPr>
        <w:t xml:space="preserve"> (</w:t>
      </w:r>
      <w:r w:rsidRPr="00C80866">
        <w:rPr>
          <w:sz w:val="24"/>
          <w:szCs w:val="24"/>
        </w:rPr>
        <w:t>Official Journa</w:t>
      </w:r>
      <w:r>
        <w:rPr>
          <w:sz w:val="24"/>
          <w:szCs w:val="24"/>
        </w:rPr>
        <w:t xml:space="preserve">l of the European Union L 318 /Commission decision </w:t>
      </w:r>
      <w:r w:rsidRPr="002C2A9C">
        <w:rPr>
          <w:sz w:val="24"/>
          <w:szCs w:val="24"/>
        </w:rPr>
        <w:t>2009/886/EC</w:t>
      </w:r>
      <w:r>
        <w:rPr>
          <w:sz w:val="24"/>
          <w:szCs w:val="24"/>
        </w:rPr>
        <w:t>)</w:t>
      </w:r>
      <w:r w:rsidRPr="00C80866">
        <w:rPr>
          <w:sz w:val="24"/>
          <w:szCs w:val="24"/>
        </w:rPr>
        <w:t>.</w:t>
      </w:r>
    </w:p>
    <w:p w14:paraId="28717FCA" w14:textId="4EC31405" w:rsidR="007F260C" w:rsidRPr="007F260C" w:rsidRDefault="007F260C" w:rsidP="00A11CDD">
      <w:pPr>
        <w:ind w:left="2160" w:hanging="2160"/>
        <w:jc w:val="both"/>
        <w:rPr>
          <w:rFonts w:cstheme="minorHAnsi"/>
          <w:sz w:val="24"/>
          <w:szCs w:val="24"/>
        </w:rPr>
      </w:pPr>
      <w:r w:rsidRPr="00F04E05">
        <w:rPr>
          <w:rFonts w:cstheme="minorHAnsi"/>
          <w:b/>
          <w:sz w:val="24"/>
          <w:szCs w:val="24"/>
        </w:rPr>
        <w:t>Bioburden</w:t>
      </w:r>
      <w:r>
        <w:rPr>
          <w:rFonts w:cstheme="minorHAnsi"/>
          <w:sz w:val="24"/>
          <w:szCs w:val="24"/>
        </w:rPr>
        <w:tab/>
      </w:r>
      <w:r w:rsidR="008F4117">
        <w:rPr>
          <w:rFonts w:cstheme="minorHAnsi"/>
          <w:sz w:val="24"/>
          <w:szCs w:val="24"/>
        </w:rPr>
        <w:t>A</w:t>
      </w:r>
      <w:r w:rsidRPr="008973AE">
        <w:rPr>
          <w:rFonts w:cstheme="minorHAnsi"/>
          <w:sz w:val="24"/>
          <w:szCs w:val="24"/>
        </w:rPr>
        <w:t xml:space="preserve"> measure of the number</w:t>
      </w:r>
      <w:r>
        <w:rPr>
          <w:rFonts w:cstheme="minorHAnsi"/>
          <w:sz w:val="24"/>
          <w:szCs w:val="24"/>
        </w:rPr>
        <w:t>s and variety of micro</w:t>
      </w:r>
      <w:r w:rsidR="008F4117">
        <w:rPr>
          <w:rFonts w:cstheme="minorHAnsi"/>
          <w:sz w:val="24"/>
          <w:szCs w:val="24"/>
        </w:rPr>
        <w:t>-</w:t>
      </w:r>
      <w:r>
        <w:rPr>
          <w:rFonts w:cstheme="minorHAnsi"/>
          <w:sz w:val="24"/>
          <w:szCs w:val="24"/>
        </w:rPr>
        <w:t xml:space="preserve">organisms </w:t>
      </w:r>
      <w:r w:rsidRPr="008973AE">
        <w:rPr>
          <w:rFonts w:cstheme="minorHAnsi"/>
          <w:sz w:val="24"/>
          <w:szCs w:val="24"/>
        </w:rPr>
        <w:t>on a surface or volume</w:t>
      </w:r>
      <w:r>
        <w:rPr>
          <w:rFonts w:cstheme="minorHAnsi"/>
          <w:sz w:val="24"/>
          <w:szCs w:val="24"/>
        </w:rPr>
        <w:t xml:space="preserve"> (</w:t>
      </w:r>
      <w:r w:rsidR="008F4117">
        <w:rPr>
          <w:rFonts w:cstheme="minorHAnsi"/>
          <w:sz w:val="24"/>
          <w:szCs w:val="24"/>
        </w:rPr>
        <w:t xml:space="preserve">EDQM </w:t>
      </w:r>
      <w:r w:rsidRPr="008973AE">
        <w:rPr>
          <w:rFonts w:cstheme="minorHAnsi"/>
          <w:sz w:val="24"/>
          <w:szCs w:val="24"/>
        </w:rPr>
        <w:t>T&amp;C guide 10.3.6.)</w:t>
      </w:r>
    </w:p>
    <w:p w14:paraId="7876FCBE" w14:textId="02771991" w:rsidR="00CB44E2" w:rsidRDefault="00CB44E2" w:rsidP="00A11CDD">
      <w:pPr>
        <w:ind w:left="2160" w:hanging="2160"/>
        <w:jc w:val="both"/>
        <w:rPr>
          <w:sz w:val="24"/>
          <w:szCs w:val="24"/>
        </w:rPr>
      </w:pPr>
      <w:r w:rsidRPr="00FF47ED">
        <w:rPr>
          <w:b/>
          <w:sz w:val="24"/>
          <w:szCs w:val="24"/>
        </w:rPr>
        <w:t>Biological indicators</w:t>
      </w:r>
      <w:r w:rsidRPr="00FF47ED">
        <w:rPr>
          <w:sz w:val="24"/>
          <w:szCs w:val="24"/>
        </w:rPr>
        <w:t xml:space="preserve"> </w:t>
      </w:r>
      <w:r w:rsidR="008F4117">
        <w:rPr>
          <w:sz w:val="24"/>
          <w:szCs w:val="24"/>
        </w:rPr>
        <w:tab/>
        <w:t>T</w:t>
      </w:r>
      <w:r w:rsidRPr="00FF47ED">
        <w:rPr>
          <w:sz w:val="24"/>
          <w:szCs w:val="24"/>
        </w:rPr>
        <w:t>est systems containing viable micro</w:t>
      </w:r>
      <w:r w:rsidR="008F4117">
        <w:rPr>
          <w:sz w:val="24"/>
          <w:szCs w:val="24"/>
        </w:rPr>
        <w:t>-</w:t>
      </w:r>
      <w:r w:rsidRPr="00FF47ED">
        <w:rPr>
          <w:sz w:val="24"/>
          <w:szCs w:val="24"/>
        </w:rPr>
        <w:t>organisms (usually spores of bacteria) that provide a defined challenge to verify the required effectiveness of a specified sterili</w:t>
      </w:r>
      <w:r w:rsidR="008F4117">
        <w:rPr>
          <w:sz w:val="24"/>
          <w:szCs w:val="24"/>
        </w:rPr>
        <w:t>s</w:t>
      </w:r>
      <w:r>
        <w:rPr>
          <w:sz w:val="24"/>
          <w:szCs w:val="24"/>
        </w:rPr>
        <w:t>ation process (Ph.Eur. 5.1.2.)</w:t>
      </w:r>
    </w:p>
    <w:p w14:paraId="22249ABA" w14:textId="7E964A9E" w:rsidR="006D2496" w:rsidRPr="006D2496" w:rsidRDefault="006D2496" w:rsidP="00A11CDD">
      <w:pPr>
        <w:pStyle w:val="BodytextAgency"/>
        <w:ind w:left="2160" w:hanging="2160"/>
        <w:jc w:val="both"/>
        <w:rPr>
          <w:rFonts w:asciiTheme="minorHAnsi" w:hAnsiTheme="minorHAnsi" w:cstheme="minorHAnsi"/>
          <w:sz w:val="24"/>
          <w:szCs w:val="24"/>
        </w:rPr>
      </w:pPr>
      <w:r w:rsidRPr="00CB44E2">
        <w:rPr>
          <w:rFonts w:asciiTheme="minorHAnsi" w:hAnsiTheme="minorHAnsi" w:cstheme="minorHAnsi"/>
          <w:b/>
          <w:sz w:val="24"/>
          <w:szCs w:val="24"/>
        </w:rPr>
        <w:t>CE-marked kit</w:t>
      </w:r>
      <w:r w:rsidRPr="00CB44E2">
        <w:rPr>
          <w:rFonts w:asciiTheme="minorHAnsi" w:hAnsiTheme="minorHAnsi" w:cstheme="minorHAnsi"/>
          <w:b/>
          <w:sz w:val="24"/>
          <w:szCs w:val="24"/>
        </w:rPr>
        <w:tab/>
      </w:r>
      <w:r w:rsidRPr="00CB44E2">
        <w:rPr>
          <w:rFonts w:asciiTheme="minorHAnsi" w:hAnsiTheme="minorHAnsi" w:cstheme="minorHAnsi"/>
          <w:sz w:val="24"/>
          <w:szCs w:val="24"/>
        </w:rPr>
        <w:t>Kit</w:t>
      </w:r>
      <w:r w:rsidRPr="00CB44E2">
        <w:rPr>
          <w:rFonts w:asciiTheme="minorHAnsi" w:hAnsiTheme="minorHAnsi" w:cstheme="minorHAnsi"/>
          <w:b/>
          <w:sz w:val="24"/>
          <w:szCs w:val="24"/>
        </w:rPr>
        <w:t xml:space="preserve"> </w:t>
      </w:r>
      <w:r w:rsidRPr="00CB44E2">
        <w:rPr>
          <w:rFonts w:asciiTheme="minorHAnsi" w:hAnsiTheme="minorHAnsi" w:cstheme="minorHAnsi"/>
          <w:sz w:val="24"/>
          <w:szCs w:val="24"/>
        </w:rPr>
        <w:t xml:space="preserve">marked by a manufacturer to indicate that a donor testing kit/assay is in conformity with the applicable requirements set out in Regulation (EU) 2017/746 on </w:t>
      </w:r>
      <w:r w:rsidRPr="00CB44E2">
        <w:rPr>
          <w:rFonts w:asciiTheme="minorHAnsi" w:hAnsiTheme="minorHAnsi" w:cstheme="minorHAnsi"/>
          <w:i/>
          <w:sz w:val="24"/>
          <w:szCs w:val="24"/>
        </w:rPr>
        <w:t xml:space="preserve">in vitro </w:t>
      </w:r>
      <w:r w:rsidRPr="00CB44E2">
        <w:rPr>
          <w:rFonts w:asciiTheme="minorHAnsi" w:hAnsiTheme="minorHAnsi" w:cstheme="minorHAnsi"/>
          <w:sz w:val="24"/>
          <w:szCs w:val="24"/>
        </w:rPr>
        <w:t xml:space="preserve">medical devices and other applicable Union harmonisation legislation providing for its affixing (modified </w:t>
      </w:r>
      <w:r>
        <w:rPr>
          <w:rFonts w:asciiTheme="minorHAnsi" w:hAnsiTheme="minorHAnsi" w:cstheme="minorHAnsi"/>
          <w:sz w:val="24"/>
          <w:szCs w:val="24"/>
        </w:rPr>
        <w:t>from Regulation (EU) 2017/746).</w:t>
      </w:r>
    </w:p>
    <w:p w14:paraId="27301BC9" w14:textId="5A4B6134" w:rsidR="008C4D3E" w:rsidRPr="008C4D3E" w:rsidRDefault="008C4D3E" w:rsidP="006D2496">
      <w:pPr>
        <w:ind w:left="2160" w:hanging="2160"/>
        <w:jc w:val="both"/>
        <w:rPr>
          <w:sz w:val="24"/>
          <w:szCs w:val="24"/>
        </w:rPr>
      </w:pPr>
      <w:r>
        <w:rPr>
          <w:b/>
          <w:sz w:val="24"/>
          <w:szCs w:val="24"/>
        </w:rPr>
        <w:t>Closed system</w:t>
      </w:r>
      <w:r w:rsidRPr="008C4D3E">
        <w:rPr>
          <w:b/>
          <w:sz w:val="24"/>
          <w:szCs w:val="24"/>
        </w:rPr>
        <w:t xml:space="preserve"> </w:t>
      </w:r>
      <w:r>
        <w:rPr>
          <w:b/>
          <w:sz w:val="24"/>
          <w:szCs w:val="24"/>
        </w:rPr>
        <w:tab/>
      </w:r>
      <w:r w:rsidRPr="008C4D3E">
        <w:rPr>
          <w:sz w:val="24"/>
          <w:szCs w:val="24"/>
        </w:rPr>
        <w:t>A procurement system with equipment designed and operated such that the cells are not exposed to the environment.</w:t>
      </w:r>
      <w:r>
        <w:rPr>
          <w:sz w:val="24"/>
          <w:szCs w:val="24"/>
        </w:rPr>
        <w:t xml:space="preserve"> (EDQM T&amp;C Guide)</w:t>
      </w:r>
    </w:p>
    <w:p w14:paraId="5D3722D7" w14:textId="438A2EBF" w:rsidR="009A1E97" w:rsidRDefault="009A1E97" w:rsidP="006D2496">
      <w:pPr>
        <w:ind w:left="2160" w:hanging="2160"/>
        <w:jc w:val="both"/>
        <w:rPr>
          <w:rFonts w:cstheme="minorHAnsi"/>
          <w:sz w:val="24"/>
          <w:szCs w:val="24"/>
        </w:rPr>
      </w:pPr>
      <w:r>
        <w:rPr>
          <w:b/>
          <w:sz w:val="24"/>
          <w:szCs w:val="24"/>
        </w:rPr>
        <w:t xml:space="preserve">Critical process parameter (CPP) </w:t>
      </w:r>
      <w:r w:rsidR="008F4117">
        <w:rPr>
          <w:b/>
          <w:sz w:val="24"/>
          <w:szCs w:val="24"/>
        </w:rPr>
        <w:tab/>
      </w:r>
      <w:r w:rsidR="008F4117" w:rsidRPr="008F4117">
        <w:rPr>
          <w:sz w:val="24"/>
          <w:szCs w:val="24"/>
        </w:rPr>
        <w:t>A</w:t>
      </w:r>
      <w:r>
        <w:rPr>
          <w:sz w:val="24"/>
          <w:szCs w:val="24"/>
        </w:rPr>
        <w:t xml:space="preserve"> process parameter whose variability has an impact on a critical quality attribute and which therefore should be monitored and controlled to ensure the process produces the desired quality. (</w:t>
      </w:r>
      <w:r>
        <w:rPr>
          <w:rFonts w:cstheme="minorHAnsi"/>
          <w:sz w:val="24"/>
          <w:szCs w:val="24"/>
        </w:rPr>
        <w:t>Directive (EU) 2016/1214 Art. 1, Good Practice Guidelines)</w:t>
      </w:r>
    </w:p>
    <w:p w14:paraId="508364A3" w14:textId="5F5361B7" w:rsidR="00E15EF3" w:rsidRPr="007F0D0F" w:rsidRDefault="00E15EF3" w:rsidP="007F0D0F">
      <w:pPr>
        <w:ind w:left="2160" w:hanging="2160"/>
        <w:jc w:val="both"/>
        <w:rPr>
          <w:rFonts w:cstheme="minorHAnsi"/>
          <w:b/>
          <w:sz w:val="24"/>
          <w:szCs w:val="24"/>
        </w:rPr>
      </w:pPr>
      <w:r>
        <w:rPr>
          <w:rFonts w:cstheme="minorHAnsi"/>
          <w:b/>
          <w:sz w:val="24"/>
          <w:szCs w:val="24"/>
        </w:rPr>
        <w:t>Deceased donor</w:t>
      </w:r>
      <w:r>
        <w:rPr>
          <w:rFonts w:cstheme="minorHAnsi"/>
          <w:b/>
          <w:sz w:val="24"/>
          <w:szCs w:val="24"/>
        </w:rPr>
        <w:tab/>
      </w:r>
      <w:r>
        <w:rPr>
          <w:rFonts w:cstheme="minorHAnsi"/>
          <w:sz w:val="24"/>
          <w:szCs w:val="24"/>
        </w:rPr>
        <w:t>A person declared to be dea</w:t>
      </w:r>
      <w:r w:rsidR="007F0D0F">
        <w:rPr>
          <w:rFonts w:cstheme="minorHAnsi"/>
          <w:sz w:val="24"/>
          <w:szCs w:val="24"/>
        </w:rPr>
        <w:t>d</w:t>
      </w:r>
      <w:r>
        <w:rPr>
          <w:rFonts w:cstheme="minorHAnsi"/>
          <w:sz w:val="24"/>
          <w:szCs w:val="24"/>
        </w:rPr>
        <w:t xml:space="preserve"> according to established medical criteria and from whom cells, tissues and organs have been recovered for the purpose of human application (EuroGTP II Guide)</w:t>
      </w:r>
    </w:p>
    <w:p w14:paraId="73D0EC98" w14:textId="529B8ECE" w:rsidR="006D2496" w:rsidRPr="00D3706F" w:rsidRDefault="006D2496" w:rsidP="006D2496">
      <w:pPr>
        <w:ind w:left="2160" w:hanging="2160"/>
        <w:jc w:val="both"/>
        <w:rPr>
          <w:sz w:val="24"/>
          <w:szCs w:val="24"/>
        </w:rPr>
      </w:pPr>
      <w:r>
        <w:rPr>
          <w:b/>
          <w:sz w:val="24"/>
          <w:szCs w:val="24"/>
        </w:rPr>
        <w:t>(D</w:t>
      </w:r>
      <w:r w:rsidRPr="00D3706F">
        <w:rPr>
          <w:b/>
          <w:sz w:val="24"/>
          <w:szCs w:val="24"/>
        </w:rPr>
        <w:t>iagnostic</w:t>
      </w:r>
      <w:r>
        <w:rPr>
          <w:b/>
          <w:sz w:val="24"/>
          <w:szCs w:val="24"/>
        </w:rPr>
        <w:t xml:space="preserve">) </w:t>
      </w:r>
      <w:r w:rsidRPr="00D3706F">
        <w:rPr>
          <w:b/>
          <w:sz w:val="24"/>
          <w:szCs w:val="24"/>
        </w:rPr>
        <w:t>specificity</w:t>
      </w:r>
      <w:r>
        <w:rPr>
          <w:sz w:val="24"/>
          <w:szCs w:val="24"/>
        </w:rPr>
        <w:tab/>
      </w:r>
      <w:r w:rsidR="008F4117">
        <w:rPr>
          <w:sz w:val="24"/>
          <w:szCs w:val="24"/>
        </w:rPr>
        <w:t>T</w:t>
      </w:r>
      <w:r w:rsidRPr="00A1640B">
        <w:rPr>
          <w:sz w:val="24"/>
          <w:szCs w:val="24"/>
        </w:rPr>
        <w:t xml:space="preserve">he probability that the </w:t>
      </w:r>
      <w:r>
        <w:rPr>
          <w:sz w:val="24"/>
          <w:szCs w:val="24"/>
        </w:rPr>
        <w:t xml:space="preserve">donor testing </w:t>
      </w:r>
      <w:r w:rsidRPr="00D3706F">
        <w:rPr>
          <w:sz w:val="24"/>
          <w:szCs w:val="24"/>
        </w:rPr>
        <w:t>kit</w:t>
      </w:r>
      <w:r>
        <w:rPr>
          <w:sz w:val="24"/>
          <w:szCs w:val="24"/>
        </w:rPr>
        <w:t>/assay</w:t>
      </w:r>
      <w:r w:rsidRPr="00A1640B">
        <w:rPr>
          <w:sz w:val="24"/>
          <w:szCs w:val="24"/>
        </w:rPr>
        <w:t xml:space="preserve"> gives a negative result in the absence of the target marker</w:t>
      </w:r>
      <w:r w:rsidR="008F4117">
        <w:rPr>
          <w:sz w:val="24"/>
          <w:szCs w:val="24"/>
        </w:rPr>
        <w:t xml:space="preserve"> (ada</w:t>
      </w:r>
      <w:r>
        <w:rPr>
          <w:sz w:val="24"/>
          <w:szCs w:val="24"/>
        </w:rPr>
        <w:t xml:space="preserve">pted from </w:t>
      </w:r>
      <w:r w:rsidRPr="00C80866">
        <w:rPr>
          <w:sz w:val="24"/>
          <w:szCs w:val="24"/>
        </w:rPr>
        <w:t>Official Journa</w:t>
      </w:r>
      <w:r>
        <w:rPr>
          <w:sz w:val="24"/>
          <w:szCs w:val="24"/>
        </w:rPr>
        <w:t>l of the European Union L 318/</w:t>
      </w:r>
      <w:r w:rsidRPr="002C2A9C">
        <w:rPr>
          <w:sz w:val="24"/>
          <w:szCs w:val="24"/>
        </w:rPr>
        <w:t xml:space="preserve"> </w:t>
      </w:r>
      <w:r>
        <w:rPr>
          <w:sz w:val="24"/>
          <w:szCs w:val="24"/>
        </w:rPr>
        <w:t xml:space="preserve">Commission decision </w:t>
      </w:r>
      <w:r w:rsidRPr="002C2A9C">
        <w:rPr>
          <w:sz w:val="24"/>
          <w:szCs w:val="24"/>
        </w:rPr>
        <w:t>2009/886/EC</w:t>
      </w:r>
      <w:r>
        <w:rPr>
          <w:sz w:val="24"/>
          <w:szCs w:val="24"/>
        </w:rPr>
        <w:t>).</w:t>
      </w:r>
    </w:p>
    <w:p w14:paraId="3A4503D1" w14:textId="431003C5" w:rsidR="006D2496" w:rsidRDefault="006D2496" w:rsidP="006D2496">
      <w:pPr>
        <w:ind w:left="2160" w:hanging="2160"/>
        <w:jc w:val="both"/>
        <w:rPr>
          <w:sz w:val="24"/>
          <w:szCs w:val="24"/>
        </w:rPr>
      </w:pPr>
      <w:r>
        <w:rPr>
          <w:b/>
          <w:sz w:val="24"/>
          <w:szCs w:val="24"/>
        </w:rPr>
        <w:t>(D</w:t>
      </w:r>
      <w:r w:rsidRPr="00D3706F">
        <w:rPr>
          <w:b/>
          <w:sz w:val="24"/>
          <w:szCs w:val="24"/>
        </w:rPr>
        <w:t>iagnostic</w:t>
      </w:r>
      <w:r>
        <w:rPr>
          <w:b/>
          <w:sz w:val="24"/>
          <w:szCs w:val="24"/>
        </w:rPr>
        <w:t>)</w:t>
      </w:r>
      <w:r w:rsidRPr="00D3706F">
        <w:rPr>
          <w:b/>
          <w:sz w:val="24"/>
          <w:szCs w:val="24"/>
        </w:rPr>
        <w:t xml:space="preserve"> sensitivity</w:t>
      </w:r>
      <w:r>
        <w:rPr>
          <w:sz w:val="24"/>
          <w:szCs w:val="24"/>
        </w:rPr>
        <w:t xml:space="preserve"> </w:t>
      </w:r>
      <w:r w:rsidR="008F4117">
        <w:rPr>
          <w:sz w:val="24"/>
          <w:szCs w:val="24"/>
        </w:rPr>
        <w:tab/>
      </w:r>
      <w:r w:rsidRPr="00C80866">
        <w:rPr>
          <w:sz w:val="24"/>
          <w:szCs w:val="24"/>
        </w:rPr>
        <w:t xml:space="preserve">The probability that the </w:t>
      </w:r>
      <w:r>
        <w:rPr>
          <w:sz w:val="24"/>
          <w:szCs w:val="24"/>
        </w:rPr>
        <w:t>donor testing kit/assay</w:t>
      </w:r>
      <w:r w:rsidRPr="00C80866">
        <w:rPr>
          <w:sz w:val="24"/>
          <w:szCs w:val="24"/>
        </w:rPr>
        <w:t xml:space="preserve"> gives a positive result in the presence of the target marker</w:t>
      </w:r>
      <w:r w:rsidR="008F4117">
        <w:rPr>
          <w:sz w:val="24"/>
          <w:szCs w:val="24"/>
        </w:rPr>
        <w:t xml:space="preserve"> (ada</w:t>
      </w:r>
      <w:r>
        <w:rPr>
          <w:sz w:val="24"/>
          <w:szCs w:val="24"/>
        </w:rPr>
        <w:t xml:space="preserve">pted from </w:t>
      </w:r>
      <w:r w:rsidRPr="00C80866">
        <w:rPr>
          <w:sz w:val="24"/>
          <w:szCs w:val="24"/>
        </w:rPr>
        <w:t>Official Journa</w:t>
      </w:r>
      <w:r>
        <w:rPr>
          <w:sz w:val="24"/>
          <w:szCs w:val="24"/>
        </w:rPr>
        <w:t>l of the European Union L 318/</w:t>
      </w:r>
      <w:r w:rsidRPr="002C2A9C">
        <w:rPr>
          <w:sz w:val="24"/>
          <w:szCs w:val="24"/>
        </w:rPr>
        <w:t xml:space="preserve"> </w:t>
      </w:r>
      <w:r>
        <w:rPr>
          <w:sz w:val="24"/>
          <w:szCs w:val="24"/>
        </w:rPr>
        <w:t xml:space="preserve">Commission decision </w:t>
      </w:r>
      <w:r w:rsidRPr="002C2A9C">
        <w:rPr>
          <w:sz w:val="24"/>
          <w:szCs w:val="24"/>
        </w:rPr>
        <w:t>2009/886/EC</w:t>
      </w:r>
      <w:r>
        <w:rPr>
          <w:sz w:val="24"/>
          <w:szCs w:val="24"/>
        </w:rPr>
        <w:t>).</w:t>
      </w:r>
    </w:p>
    <w:p w14:paraId="783223C8" w14:textId="43CE0E0D" w:rsidR="00E15EF3" w:rsidRPr="008F4117" w:rsidRDefault="00E15EF3" w:rsidP="008F4117">
      <w:pPr>
        <w:pStyle w:val="CommentText"/>
        <w:spacing w:after="0"/>
        <w:ind w:left="2160" w:hanging="2160"/>
        <w:jc w:val="both"/>
        <w:rPr>
          <w:sz w:val="24"/>
          <w:szCs w:val="24"/>
        </w:rPr>
      </w:pPr>
      <w:r>
        <w:rPr>
          <w:rFonts w:cstheme="minorHAnsi"/>
          <w:b/>
          <w:sz w:val="24"/>
          <w:szCs w:val="24"/>
        </w:rPr>
        <w:lastRenderedPageBreak/>
        <w:t>Donation</w:t>
      </w:r>
      <w:r>
        <w:rPr>
          <w:rFonts w:cstheme="minorHAnsi"/>
          <w:b/>
        </w:rPr>
        <w:tab/>
      </w:r>
      <w:r w:rsidR="008F4117" w:rsidRPr="008F4117">
        <w:rPr>
          <w:sz w:val="24"/>
          <w:szCs w:val="24"/>
        </w:rPr>
        <w:t>D</w:t>
      </w:r>
      <w:r w:rsidRPr="008F4117">
        <w:rPr>
          <w:sz w:val="24"/>
          <w:szCs w:val="24"/>
        </w:rPr>
        <w:t xml:space="preserve">onating </w:t>
      </w:r>
      <w:r w:rsidR="008F4117" w:rsidRPr="008F4117">
        <w:rPr>
          <w:sz w:val="24"/>
          <w:szCs w:val="24"/>
        </w:rPr>
        <w:t xml:space="preserve">human </w:t>
      </w:r>
      <w:r w:rsidRPr="008F4117">
        <w:rPr>
          <w:sz w:val="24"/>
          <w:szCs w:val="24"/>
        </w:rPr>
        <w:t>blood, tissues or cells intended for human applications (</w:t>
      </w:r>
      <w:r w:rsidR="008F4117" w:rsidRPr="008F4117">
        <w:rPr>
          <w:sz w:val="24"/>
          <w:szCs w:val="24"/>
        </w:rPr>
        <w:t>Adapted from Directive</w:t>
      </w:r>
      <w:r w:rsidRPr="008F4117">
        <w:rPr>
          <w:sz w:val="24"/>
          <w:szCs w:val="24"/>
        </w:rPr>
        <w:t xml:space="preserve"> 2004/23/EC</w:t>
      </w:r>
      <w:r w:rsidR="008F4117" w:rsidRPr="008F4117">
        <w:rPr>
          <w:sz w:val="24"/>
          <w:szCs w:val="24"/>
        </w:rPr>
        <w:t>)</w:t>
      </w:r>
    </w:p>
    <w:p w14:paraId="35EDB928" w14:textId="77777777" w:rsidR="00E15EF3" w:rsidRPr="00951717" w:rsidRDefault="00E15EF3" w:rsidP="00951717">
      <w:pPr>
        <w:pStyle w:val="CommentText"/>
        <w:spacing w:after="0"/>
        <w:jc w:val="both"/>
      </w:pPr>
    </w:p>
    <w:p w14:paraId="3AAD8D33" w14:textId="4BAA867E" w:rsidR="00E15EF3" w:rsidRPr="00A11CDD" w:rsidRDefault="00E15EF3" w:rsidP="00A11CDD">
      <w:pPr>
        <w:ind w:left="2160" w:hanging="2160"/>
        <w:jc w:val="both"/>
        <w:rPr>
          <w:rFonts w:cstheme="minorHAnsi"/>
          <w:b/>
          <w:sz w:val="24"/>
          <w:szCs w:val="24"/>
        </w:rPr>
      </w:pPr>
      <w:r>
        <w:rPr>
          <w:rFonts w:cstheme="minorHAnsi"/>
          <w:b/>
          <w:sz w:val="24"/>
          <w:szCs w:val="24"/>
        </w:rPr>
        <w:t>Donor</w:t>
      </w:r>
      <w:r w:rsidRPr="00A11CDD">
        <w:rPr>
          <w:rFonts w:cstheme="minorHAnsi"/>
          <w:b/>
          <w:sz w:val="24"/>
          <w:szCs w:val="24"/>
        </w:rPr>
        <w:tab/>
      </w:r>
      <w:r w:rsidRPr="00A11CDD">
        <w:rPr>
          <w:rFonts w:cstheme="minorHAnsi"/>
          <w:sz w:val="24"/>
          <w:szCs w:val="24"/>
        </w:rPr>
        <w:t xml:space="preserve">Means every human source, whether living or deceased, of human cells or tissues intended for </w:t>
      </w:r>
      <w:r w:rsidR="00A11CDD" w:rsidRPr="00A11CDD">
        <w:rPr>
          <w:rFonts w:cstheme="minorHAnsi"/>
          <w:sz w:val="24"/>
          <w:szCs w:val="24"/>
        </w:rPr>
        <w:t xml:space="preserve">human application; and a person </w:t>
      </w:r>
      <w:r w:rsidRPr="00A11CDD">
        <w:rPr>
          <w:rFonts w:cstheme="minorHAnsi"/>
          <w:sz w:val="24"/>
          <w:szCs w:val="24"/>
        </w:rPr>
        <w:t xml:space="preserve">who voluntarily gives blood or blood components for therapeutic use (adapted from DIRECTIVE 2004/23/EC </w:t>
      </w:r>
      <w:r w:rsidR="00A11CDD" w:rsidRPr="00A11CDD">
        <w:rPr>
          <w:rFonts w:cstheme="minorHAnsi"/>
          <w:sz w:val="24"/>
          <w:szCs w:val="24"/>
        </w:rPr>
        <w:t>and the EDQM Blood Guide)</w:t>
      </w:r>
    </w:p>
    <w:p w14:paraId="3EDB0EF2" w14:textId="57B9AAA5" w:rsidR="007F260C" w:rsidRPr="007F260C" w:rsidRDefault="007F260C" w:rsidP="00A11CDD">
      <w:pPr>
        <w:ind w:left="2160" w:hanging="2160"/>
        <w:jc w:val="both"/>
        <w:rPr>
          <w:rFonts w:cstheme="minorHAnsi"/>
          <w:sz w:val="24"/>
          <w:szCs w:val="24"/>
        </w:rPr>
      </w:pPr>
      <w:r w:rsidRPr="007C07C0">
        <w:rPr>
          <w:rFonts w:cstheme="minorHAnsi"/>
          <w:b/>
          <w:sz w:val="24"/>
          <w:szCs w:val="24"/>
        </w:rPr>
        <w:t>F</w:t>
      </w:r>
      <w:r w:rsidRPr="007C07C0">
        <w:rPr>
          <w:rFonts w:cstheme="minorHAnsi"/>
          <w:b/>
          <w:sz w:val="24"/>
          <w:szCs w:val="24"/>
          <w:vertAlign w:val="subscript"/>
        </w:rPr>
        <w:t>0</w:t>
      </w:r>
      <w:r>
        <w:rPr>
          <w:rFonts w:cstheme="minorHAnsi"/>
          <w:sz w:val="24"/>
          <w:szCs w:val="24"/>
        </w:rPr>
        <w:tab/>
      </w:r>
      <w:r w:rsidR="00A11CDD">
        <w:rPr>
          <w:rFonts w:cstheme="minorHAnsi"/>
          <w:sz w:val="24"/>
          <w:szCs w:val="24"/>
        </w:rPr>
        <w:t>T</w:t>
      </w:r>
      <w:r w:rsidRPr="007C07C0">
        <w:rPr>
          <w:rFonts w:cstheme="minorHAnsi"/>
          <w:sz w:val="24"/>
          <w:szCs w:val="24"/>
        </w:rPr>
        <w:t>he time in minute for the specified temperature that causes the same lethality as one mi</w:t>
      </w:r>
      <w:r>
        <w:rPr>
          <w:rFonts w:cstheme="minorHAnsi"/>
          <w:sz w:val="24"/>
          <w:szCs w:val="24"/>
        </w:rPr>
        <w:t>nute at 121 °C (Ph.Eur. 5.1.5).</w:t>
      </w:r>
    </w:p>
    <w:p w14:paraId="63D932D3" w14:textId="4C1B75CD" w:rsidR="00424F9B" w:rsidRPr="00CB44E2" w:rsidRDefault="00424F9B" w:rsidP="00A11CDD">
      <w:pPr>
        <w:pStyle w:val="BodytextAgency"/>
        <w:ind w:left="2160" w:hanging="2160"/>
        <w:jc w:val="both"/>
        <w:rPr>
          <w:rFonts w:asciiTheme="minorHAnsi" w:hAnsiTheme="minorHAnsi" w:cstheme="minorHAnsi"/>
          <w:sz w:val="24"/>
          <w:szCs w:val="24"/>
        </w:rPr>
      </w:pPr>
      <w:r w:rsidRPr="00CB44E2">
        <w:rPr>
          <w:rFonts w:asciiTheme="minorHAnsi" w:hAnsiTheme="minorHAnsi" w:cstheme="minorHAnsi"/>
          <w:b/>
          <w:sz w:val="24"/>
          <w:szCs w:val="24"/>
        </w:rPr>
        <w:t>In-house</w:t>
      </w:r>
      <w:r w:rsidRPr="00CB44E2">
        <w:rPr>
          <w:rFonts w:asciiTheme="minorHAnsi" w:hAnsiTheme="minorHAnsi" w:cstheme="minorHAnsi"/>
          <w:b/>
          <w:sz w:val="24"/>
          <w:szCs w:val="24"/>
        </w:rPr>
        <w:tab/>
      </w:r>
      <w:r w:rsidRPr="00CB44E2">
        <w:rPr>
          <w:rFonts w:asciiTheme="minorHAnsi" w:hAnsiTheme="minorHAnsi" w:cstheme="minorHAnsi"/>
          <w:sz w:val="24"/>
          <w:szCs w:val="24"/>
        </w:rPr>
        <w:t>M</w:t>
      </w:r>
      <w:r w:rsidRPr="00CB44E2">
        <w:rPr>
          <w:rFonts w:asciiTheme="minorHAnsi" w:eastAsia="Times New Roman" w:hAnsiTheme="minorHAnsi" w:cstheme="minorHAnsi"/>
          <w:sz w:val="24"/>
          <w:szCs w:val="24"/>
          <w:lang w:eastAsia="fi-FI"/>
        </w:rPr>
        <w:t xml:space="preserve">anufactured and used within an organization (for example BE/TE/laboratory) </w:t>
      </w:r>
      <w:commentRangeStart w:id="56"/>
      <w:r w:rsidRPr="00CB44E2">
        <w:rPr>
          <w:rFonts w:asciiTheme="minorHAnsi" w:eastAsia="Times New Roman" w:hAnsiTheme="minorHAnsi" w:cstheme="minorHAnsi"/>
          <w:sz w:val="24"/>
          <w:szCs w:val="24"/>
          <w:highlight w:val="yellow"/>
          <w:lang w:eastAsia="fi-FI"/>
        </w:rPr>
        <w:t>and not distributed outside</w:t>
      </w:r>
      <w:r w:rsidRPr="00CB44E2">
        <w:rPr>
          <w:rFonts w:asciiTheme="minorHAnsi" w:eastAsia="Times New Roman" w:hAnsiTheme="minorHAnsi" w:cstheme="minorHAnsi"/>
          <w:sz w:val="24"/>
          <w:szCs w:val="24"/>
          <w:lang w:eastAsia="fi-FI"/>
        </w:rPr>
        <w:t xml:space="preserve"> </w:t>
      </w:r>
      <w:commentRangeEnd w:id="56"/>
      <w:r w:rsidR="00A11CDD">
        <w:rPr>
          <w:rStyle w:val="CommentReference"/>
          <w:rFonts w:asciiTheme="minorHAnsi" w:eastAsiaTheme="minorEastAsia" w:hAnsiTheme="minorHAnsi" w:cstheme="minorBidi"/>
          <w:lang w:val="en-US" w:eastAsia="ja-JP"/>
        </w:rPr>
        <w:commentReference w:id="56"/>
      </w:r>
      <w:r w:rsidRPr="00CB44E2">
        <w:rPr>
          <w:rFonts w:asciiTheme="minorHAnsi" w:hAnsiTheme="minorHAnsi" w:cstheme="minorHAnsi"/>
          <w:sz w:val="24"/>
          <w:szCs w:val="24"/>
        </w:rPr>
        <w:t>(adapted from Regulation (EU) 2017/746)</w:t>
      </w:r>
    </w:p>
    <w:p w14:paraId="011EB74F" w14:textId="2269A24B" w:rsidR="00424F9B" w:rsidRPr="00CB44E2" w:rsidRDefault="002B2241" w:rsidP="00A11CDD">
      <w:pPr>
        <w:pStyle w:val="BodytextAgency"/>
        <w:ind w:left="2160" w:hanging="2160"/>
        <w:jc w:val="both"/>
        <w:rPr>
          <w:rFonts w:asciiTheme="minorHAnsi" w:hAnsiTheme="minorHAnsi" w:cstheme="minorHAnsi"/>
          <w:sz w:val="24"/>
          <w:szCs w:val="24"/>
        </w:rPr>
      </w:pPr>
      <w:r>
        <w:rPr>
          <w:rFonts w:asciiTheme="minorHAnsi" w:hAnsiTheme="minorHAnsi" w:cstheme="minorHAnsi"/>
          <w:b/>
          <w:i/>
          <w:sz w:val="24"/>
          <w:szCs w:val="24"/>
        </w:rPr>
        <w:t>I</w:t>
      </w:r>
      <w:r w:rsidR="00424F9B" w:rsidRPr="00CB44E2">
        <w:rPr>
          <w:rFonts w:asciiTheme="minorHAnsi" w:hAnsiTheme="minorHAnsi" w:cstheme="minorHAnsi"/>
          <w:b/>
          <w:i/>
          <w:sz w:val="24"/>
          <w:szCs w:val="24"/>
        </w:rPr>
        <w:t xml:space="preserve">n vitro </w:t>
      </w:r>
      <w:r w:rsidR="00424F9B" w:rsidRPr="00CB44E2">
        <w:rPr>
          <w:rFonts w:asciiTheme="minorHAnsi" w:hAnsiTheme="minorHAnsi" w:cstheme="minorHAnsi"/>
          <w:b/>
          <w:sz w:val="24"/>
          <w:szCs w:val="24"/>
        </w:rPr>
        <w:t>diagnostic medical device</w:t>
      </w:r>
      <w:r w:rsidR="00424F9B" w:rsidRPr="00CB44E2">
        <w:rPr>
          <w:rFonts w:asciiTheme="minorHAnsi" w:hAnsiTheme="minorHAnsi" w:cstheme="minorHAnsi"/>
          <w:sz w:val="24"/>
          <w:szCs w:val="24"/>
        </w:rPr>
        <w:tab/>
      </w:r>
      <w:r w:rsidR="008F4117">
        <w:rPr>
          <w:rFonts w:asciiTheme="minorHAnsi" w:hAnsiTheme="minorHAnsi" w:cstheme="minorHAnsi"/>
          <w:sz w:val="24"/>
          <w:szCs w:val="24"/>
        </w:rPr>
        <w:t>A</w:t>
      </w:r>
      <w:r w:rsidR="00424F9B" w:rsidRPr="00CB44E2">
        <w:rPr>
          <w:rFonts w:asciiTheme="minorHAnsi" w:hAnsiTheme="minorHAnsi" w:cstheme="minorHAnsi"/>
          <w:sz w:val="24"/>
          <w:szCs w:val="24"/>
        </w:rPr>
        <w:t xml:space="preserve">ny medical device which is a reagent, reagent product, calibrator, control material, kit, instrument, apparatus, piece of equipment, software or system, whether used alone or in combination, intended by the manufacturer to be used </w:t>
      </w:r>
      <w:r w:rsidR="00424F9B" w:rsidRPr="008F4117">
        <w:rPr>
          <w:rFonts w:asciiTheme="minorHAnsi" w:hAnsiTheme="minorHAnsi" w:cstheme="minorHAnsi"/>
          <w:i/>
          <w:sz w:val="24"/>
          <w:szCs w:val="24"/>
        </w:rPr>
        <w:t>in vitro</w:t>
      </w:r>
      <w:r w:rsidR="00424F9B" w:rsidRPr="00CB44E2">
        <w:rPr>
          <w:rFonts w:asciiTheme="minorHAnsi" w:hAnsiTheme="minorHAnsi" w:cstheme="minorHAnsi"/>
          <w:sz w:val="24"/>
          <w:szCs w:val="24"/>
        </w:rPr>
        <w:t xml:space="preserve"> for the examination of specimens, including blood and tissue donations, derived from the human body, solely or principally for the purpose of providing information on one or more of the following: (a) concerning a physiological or pathological process or state; (b) concerning congenital physical or mental impairments; (c) concerning the predisposition to a medical condition or a disease; (d) to determine the safety and compatibility with potential recipients (Regulation (EU) 2017/746).</w:t>
      </w:r>
    </w:p>
    <w:p w14:paraId="126B0567" w14:textId="51C67490" w:rsidR="00424F9B" w:rsidRDefault="00424F9B" w:rsidP="00A11CDD">
      <w:pPr>
        <w:pStyle w:val="BodytextAgency"/>
        <w:ind w:left="2160" w:hanging="2160"/>
        <w:jc w:val="both"/>
        <w:rPr>
          <w:rFonts w:asciiTheme="minorHAnsi" w:hAnsiTheme="minorHAnsi" w:cstheme="minorHAnsi"/>
          <w:sz w:val="24"/>
          <w:szCs w:val="24"/>
        </w:rPr>
      </w:pPr>
      <w:r w:rsidRPr="00CB44E2">
        <w:rPr>
          <w:rFonts w:asciiTheme="minorHAnsi" w:hAnsiTheme="minorHAnsi" w:cstheme="minorHAnsi"/>
          <w:b/>
          <w:sz w:val="24"/>
          <w:szCs w:val="24"/>
        </w:rPr>
        <w:t>Kit</w:t>
      </w:r>
      <w:r w:rsidRPr="00CB44E2">
        <w:rPr>
          <w:rFonts w:asciiTheme="minorHAnsi" w:hAnsiTheme="minorHAnsi" w:cstheme="minorHAnsi"/>
          <w:sz w:val="24"/>
          <w:szCs w:val="24"/>
        </w:rPr>
        <w:tab/>
        <w:t xml:space="preserve">A set of components that are packaged together and intended to be used to perform a specific </w:t>
      </w:r>
      <w:r w:rsidRPr="00CB44E2">
        <w:rPr>
          <w:rFonts w:asciiTheme="minorHAnsi" w:hAnsiTheme="minorHAnsi" w:cstheme="minorHAnsi"/>
          <w:i/>
          <w:sz w:val="24"/>
          <w:szCs w:val="24"/>
        </w:rPr>
        <w:t>in vitro</w:t>
      </w:r>
      <w:r w:rsidRPr="00CB44E2">
        <w:rPr>
          <w:rFonts w:asciiTheme="minorHAnsi" w:hAnsiTheme="minorHAnsi" w:cstheme="minorHAnsi"/>
          <w:sz w:val="24"/>
          <w:szCs w:val="24"/>
        </w:rPr>
        <w:t xml:space="preserve"> diagnostic examination, or a part thereof (</w:t>
      </w:r>
      <w:r w:rsidR="008F4117">
        <w:rPr>
          <w:rFonts w:asciiTheme="minorHAnsi" w:hAnsiTheme="minorHAnsi" w:cstheme="minorHAnsi"/>
          <w:sz w:val="24"/>
          <w:szCs w:val="24"/>
        </w:rPr>
        <w:t>Regulation</w:t>
      </w:r>
      <w:r w:rsidRPr="00CB44E2">
        <w:rPr>
          <w:rFonts w:asciiTheme="minorHAnsi" w:hAnsiTheme="minorHAnsi" w:cstheme="minorHAnsi"/>
          <w:sz w:val="24"/>
          <w:szCs w:val="24"/>
        </w:rPr>
        <w:t xml:space="preserve"> (EU) 2017/746 on </w:t>
      </w:r>
      <w:r w:rsidRPr="008F4117">
        <w:rPr>
          <w:rFonts w:asciiTheme="minorHAnsi" w:hAnsiTheme="minorHAnsi" w:cstheme="minorHAnsi"/>
          <w:i/>
          <w:sz w:val="24"/>
          <w:szCs w:val="24"/>
        </w:rPr>
        <w:t>in vitro</w:t>
      </w:r>
      <w:r w:rsidRPr="00CB44E2">
        <w:rPr>
          <w:rFonts w:asciiTheme="minorHAnsi" w:hAnsiTheme="minorHAnsi" w:cstheme="minorHAnsi"/>
          <w:sz w:val="24"/>
          <w:szCs w:val="24"/>
        </w:rPr>
        <w:t xml:space="preserve"> diagnostic medical devices)</w:t>
      </w:r>
    </w:p>
    <w:p w14:paraId="30AA83DD" w14:textId="4BD46300" w:rsidR="006D2496" w:rsidRPr="006D2496" w:rsidRDefault="006D2496" w:rsidP="006D2496">
      <w:pPr>
        <w:ind w:left="2160" w:hanging="2160"/>
        <w:jc w:val="both"/>
        <w:rPr>
          <w:sz w:val="24"/>
          <w:szCs w:val="24"/>
        </w:rPr>
      </w:pPr>
      <w:r>
        <w:rPr>
          <w:b/>
          <w:sz w:val="24"/>
          <w:szCs w:val="24"/>
        </w:rPr>
        <w:t>L</w:t>
      </w:r>
      <w:r w:rsidRPr="00D3706F">
        <w:rPr>
          <w:b/>
          <w:sz w:val="24"/>
          <w:szCs w:val="24"/>
        </w:rPr>
        <w:t>ikelihood ratio</w:t>
      </w:r>
      <w:r>
        <w:rPr>
          <w:sz w:val="24"/>
          <w:szCs w:val="24"/>
        </w:rPr>
        <w:tab/>
      </w:r>
      <w:r w:rsidR="008F4117">
        <w:rPr>
          <w:sz w:val="24"/>
          <w:szCs w:val="24"/>
        </w:rPr>
        <w:t>T</w:t>
      </w:r>
      <w:r w:rsidRPr="00D3706F">
        <w:rPr>
          <w:sz w:val="24"/>
          <w:szCs w:val="24"/>
        </w:rPr>
        <w:t>he likelihood of a given result arising in an individual with the target clinical condition or physiological state compared to the likelihood of the same result arising in an individual without that clinical condition or physiological s</w:t>
      </w:r>
      <w:r w:rsidR="00962CE6">
        <w:rPr>
          <w:sz w:val="24"/>
          <w:szCs w:val="24"/>
        </w:rPr>
        <w:t>tate (Regulation (EU) 2017/746)</w:t>
      </w:r>
    </w:p>
    <w:p w14:paraId="5E5E8AA1" w14:textId="631BFDEE" w:rsidR="006E1109" w:rsidRDefault="006E1109" w:rsidP="006D2496">
      <w:pPr>
        <w:ind w:left="2880" w:hanging="2880"/>
        <w:jc w:val="both"/>
        <w:rPr>
          <w:b/>
          <w:sz w:val="24"/>
          <w:szCs w:val="24"/>
        </w:rPr>
      </w:pPr>
      <w:commentRangeStart w:id="57"/>
      <w:r w:rsidRPr="006E1109">
        <w:rPr>
          <w:b/>
          <w:sz w:val="24"/>
          <w:szCs w:val="24"/>
          <w:highlight w:val="yellow"/>
        </w:rPr>
        <w:t>Microbiological quality</w:t>
      </w:r>
      <w:commentRangeEnd w:id="57"/>
      <w:r w:rsidR="00E23852">
        <w:rPr>
          <w:rStyle w:val="CommentReference"/>
        </w:rPr>
        <w:commentReference w:id="57"/>
      </w:r>
    </w:p>
    <w:p w14:paraId="0C6BA277" w14:textId="398D32F1" w:rsidR="006D2496" w:rsidRPr="006D2496" w:rsidRDefault="006D2496" w:rsidP="006D2496">
      <w:pPr>
        <w:ind w:left="2880" w:hanging="2880"/>
        <w:jc w:val="both"/>
        <w:rPr>
          <w:sz w:val="24"/>
          <w:szCs w:val="24"/>
        </w:rPr>
      </w:pPr>
      <w:r>
        <w:rPr>
          <w:b/>
          <w:sz w:val="24"/>
          <w:szCs w:val="24"/>
        </w:rPr>
        <w:t>N</w:t>
      </w:r>
      <w:r w:rsidRPr="00D3706F">
        <w:rPr>
          <w:b/>
          <w:sz w:val="24"/>
          <w:szCs w:val="24"/>
        </w:rPr>
        <w:t>egative predictive value</w:t>
      </w:r>
      <w:r>
        <w:rPr>
          <w:sz w:val="24"/>
          <w:szCs w:val="24"/>
        </w:rPr>
        <w:tab/>
      </w:r>
      <w:r w:rsidR="00641AB4">
        <w:rPr>
          <w:sz w:val="24"/>
          <w:szCs w:val="24"/>
        </w:rPr>
        <w:t>T</w:t>
      </w:r>
      <w:r w:rsidRPr="00D3706F">
        <w:rPr>
          <w:sz w:val="24"/>
          <w:szCs w:val="24"/>
        </w:rPr>
        <w:t xml:space="preserve">he ability of a </w:t>
      </w:r>
      <w:r>
        <w:rPr>
          <w:sz w:val="24"/>
          <w:szCs w:val="24"/>
        </w:rPr>
        <w:t>donor testing kit/assay</w:t>
      </w:r>
      <w:r w:rsidR="00F3360A">
        <w:rPr>
          <w:sz w:val="24"/>
          <w:szCs w:val="24"/>
        </w:rPr>
        <w:t xml:space="preserve"> </w:t>
      </w:r>
      <w:r w:rsidR="006B0819">
        <w:rPr>
          <w:sz w:val="24"/>
          <w:szCs w:val="24"/>
        </w:rPr>
        <w:t xml:space="preserve">to separate true negative </w:t>
      </w:r>
      <w:r w:rsidRPr="00D3706F">
        <w:rPr>
          <w:sz w:val="24"/>
          <w:szCs w:val="24"/>
        </w:rPr>
        <w:t>results from false negative results for a given attribute in a given population (</w:t>
      </w:r>
      <w:r>
        <w:rPr>
          <w:sz w:val="24"/>
          <w:szCs w:val="24"/>
        </w:rPr>
        <w:t xml:space="preserve">adopted from </w:t>
      </w:r>
      <w:r w:rsidR="00641AB4">
        <w:rPr>
          <w:sz w:val="24"/>
          <w:szCs w:val="24"/>
        </w:rPr>
        <w:t>Regulation (EU) 2017/746)</w:t>
      </w:r>
    </w:p>
    <w:p w14:paraId="436799B3" w14:textId="22CD1787" w:rsidR="008C35E1" w:rsidRDefault="008C35E1" w:rsidP="00641AB4">
      <w:pPr>
        <w:ind w:left="2160" w:hanging="2160"/>
        <w:jc w:val="both"/>
        <w:rPr>
          <w:b/>
          <w:sz w:val="24"/>
          <w:szCs w:val="24"/>
        </w:rPr>
      </w:pPr>
      <w:r>
        <w:rPr>
          <w:b/>
          <w:sz w:val="24"/>
          <w:szCs w:val="24"/>
        </w:rPr>
        <w:t xml:space="preserve">Open system </w:t>
      </w:r>
      <w:r>
        <w:rPr>
          <w:b/>
          <w:sz w:val="24"/>
          <w:szCs w:val="24"/>
        </w:rPr>
        <w:tab/>
      </w:r>
      <w:r w:rsidRPr="008C35E1">
        <w:rPr>
          <w:sz w:val="24"/>
          <w:szCs w:val="24"/>
        </w:rPr>
        <w:t>A procurement system that exposes the cells to the environment (EDQM T&amp;C Guide)</w:t>
      </w:r>
    </w:p>
    <w:p w14:paraId="57233377" w14:textId="5F726A5F" w:rsidR="00641AB4" w:rsidRPr="00641AB4" w:rsidRDefault="00641AB4" w:rsidP="00641AB4">
      <w:pPr>
        <w:ind w:left="2160" w:hanging="2160"/>
        <w:jc w:val="both"/>
        <w:rPr>
          <w:sz w:val="24"/>
          <w:szCs w:val="24"/>
        </w:rPr>
      </w:pPr>
      <w:r>
        <w:rPr>
          <w:b/>
          <w:sz w:val="24"/>
          <w:szCs w:val="24"/>
        </w:rPr>
        <w:lastRenderedPageBreak/>
        <w:t>Partner donation</w:t>
      </w:r>
      <w:r w:rsidRPr="00641AB4">
        <w:rPr>
          <w:b/>
          <w:sz w:val="24"/>
          <w:szCs w:val="24"/>
        </w:rPr>
        <w:t xml:space="preserve"> </w:t>
      </w:r>
      <w:r>
        <w:rPr>
          <w:b/>
          <w:sz w:val="24"/>
          <w:szCs w:val="24"/>
        </w:rPr>
        <w:tab/>
      </w:r>
      <w:r w:rsidRPr="00641AB4">
        <w:rPr>
          <w:sz w:val="24"/>
          <w:szCs w:val="24"/>
        </w:rPr>
        <w:t>The donation of reproductive cells</w:t>
      </w:r>
      <w:r>
        <w:rPr>
          <w:sz w:val="24"/>
          <w:szCs w:val="24"/>
        </w:rPr>
        <w:t xml:space="preserve"> </w:t>
      </w:r>
      <w:r w:rsidRPr="00641AB4">
        <w:rPr>
          <w:sz w:val="24"/>
          <w:szCs w:val="24"/>
        </w:rPr>
        <w:t>between a man and a woman who declare that they have an</w:t>
      </w:r>
      <w:r>
        <w:rPr>
          <w:sz w:val="24"/>
          <w:szCs w:val="24"/>
        </w:rPr>
        <w:t xml:space="preserve"> </w:t>
      </w:r>
      <w:r w:rsidRPr="00641AB4">
        <w:rPr>
          <w:sz w:val="24"/>
          <w:szCs w:val="24"/>
        </w:rPr>
        <w:t>intimate physical relationship</w:t>
      </w:r>
      <w:r>
        <w:rPr>
          <w:sz w:val="24"/>
          <w:szCs w:val="24"/>
        </w:rPr>
        <w:t xml:space="preserve"> (Directive 2006/17/EC)</w:t>
      </w:r>
    </w:p>
    <w:p w14:paraId="0736A55A" w14:textId="489AF86E" w:rsidR="00CB44E2" w:rsidRDefault="00CB44E2" w:rsidP="002B2241">
      <w:pPr>
        <w:ind w:left="2160" w:hanging="2160"/>
        <w:jc w:val="both"/>
        <w:rPr>
          <w:sz w:val="24"/>
          <w:szCs w:val="24"/>
        </w:rPr>
      </w:pPr>
      <w:r w:rsidRPr="00A07FC7">
        <w:rPr>
          <w:b/>
          <w:sz w:val="24"/>
          <w:szCs w:val="24"/>
        </w:rPr>
        <w:t xml:space="preserve">Pathogen reduction </w:t>
      </w:r>
      <w:r w:rsidR="00F330B7">
        <w:rPr>
          <w:b/>
          <w:sz w:val="24"/>
          <w:szCs w:val="24"/>
        </w:rPr>
        <w:t xml:space="preserve">technologies </w:t>
      </w:r>
      <w:r w:rsidR="002B2241">
        <w:rPr>
          <w:b/>
          <w:sz w:val="24"/>
          <w:szCs w:val="24"/>
        </w:rPr>
        <w:t xml:space="preserve"> </w:t>
      </w:r>
      <w:r w:rsidR="002B2241">
        <w:rPr>
          <w:b/>
          <w:sz w:val="24"/>
          <w:szCs w:val="24"/>
        </w:rPr>
        <w:tab/>
      </w:r>
      <w:r w:rsidRPr="00A07FC7">
        <w:rPr>
          <w:sz w:val="24"/>
          <w:szCs w:val="24"/>
        </w:rPr>
        <w:t>Procedures that irreversibly impede proliferation of pathogens</w:t>
      </w:r>
      <w:r>
        <w:rPr>
          <w:sz w:val="24"/>
          <w:szCs w:val="24"/>
        </w:rPr>
        <w:t xml:space="preserve"> in BTC</w:t>
      </w:r>
      <w:r w:rsidRPr="00A07FC7">
        <w:rPr>
          <w:sz w:val="24"/>
          <w:szCs w:val="24"/>
        </w:rPr>
        <w:t>, either by removal or inactivation with physical and/or chemical methods.</w:t>
      </w:r>
      <w:r>
        <w:rPr>
          <w:sz w:val="24"/>
          <w:szCs w:val="24"/>
        </w:rPr>
        <w:t xml:space="preserve"> (EDQM Blood Guide)</w:t>
      </w:r>
    </w:p>
    <w:p w14:paraId="45A56503" w14:textId="0866C8CC" w:rsidR="006D2496" w:rsidRDefault="006D2496" w:rsidP="006D2496">
      <w:pPr>
        <w:ind w:left="2880" w:hanging="2880"/>
        <w:jc w:val="both"/>
        <w:rPr>
          <w:sz w:val="24"/>
          <w:szCs w:val="24"/>
        </w:rPr>
      </w:pPr>
      <w:r>
        <w:rPr>
          <w:b/>
          <w:sz w:val="24"/>
          <w:szCs w:val="24"/>
        </w:rPr>
        <w:t>P</w:t>
      </w:r>
      <w:r w:rsidRPr="00D3706F">
        <w:rPr>
          <w:b/>
          <w:sz w:val="24"/>
          <w:szCs w:val="24"/>
        </w:rPr>
        <w:t>erformance evaluatio</w:t>
      </w:r>
      <w:r w:rsidRPr="00F330B7">
        <w:rPr>
          <w:b/>
          <w:sz w:val="24"/>
          <w:szCs w:val="24"/>
        </w:rPr>
        <w:t>n</w:t>
      </w:r>
      <w:r w:rsidRPr="006B0819">
        <w:rPr>
          <w:b/>
          <w:sz w:val="24"/>
          <w:szCs w:val="24"/>
        </w:rPr>
        <w:tab/>
      </w:r>
      <w:r w:rsidR="00F330B7" w:rsidRPr="006B0819">
        <w:rPr>
          <w:sz w:val="24"/>
          <w:szCs w:val="24"/>
        </w:rPr>
        <w:t>A</w:t>
      </w:r>
      <w:r w:rsidRPr="006B0819">
        <w:rPr>
          <w:sz w:val="24"/>
          <w:szCs w:val="24"/>
        </w:rPr>
        <w:t>n assessment and analysis of data to establish o</w:t>
      </w:r>
      <w:r w:rsidR="006B0819" w:rsidRPr="006B0819">
        <w:rPr>
          <w:sz w:val="24"/>
          <w:szCs w:val="24"/>
        </w:rPr>
        <w:t>r verify the</w:t>
      </w:r>
      <w:r w:rsidR="006B0819">
        <w:rPr>
          <w:sz w:val="24"/>
          <w:szCs w:val="24"/>
        </w:rPr>
        <w:t xml:space="preserve"> </w:t>
      </w:r>
      <w:r w:rsidRPr="00D3706F">
        <w:rPr>
          <w:sz w:val="24"/>
          <w:szCs w:val="24"/>
        </w:rPr>
        <w:t xml:space="preserve">scientific validity, the analytical and, where applicable, the clinical performance of a </w:t>
      </w:r>
      <w:r>
        <w:rPr>
          <w:sz w:val="24"/>
          <w:szCs w:val="24"/>
        </w:rPr>
        <w:t>donor testing kit/assay</w:t>
      </w:r>
      <w:r w:rsidR="00F3360A">
        <w:rPr>
          <w:sz w:val="24"/>
          <w:szCs w:val="24"/>
        </w:rPr>
        <w:t xml:space="preserve"> </w:t>
      </w:r>
      <w:r w:rsidRPr="00D3706F">
        <w:rPr>
          <w:sz w:val="24"/>
          <w:szCs w:val="24"/>
        </w:rPr>
        <w:t>(</w:t>
      </w:r>
      <w:r w:rsidR="00F3360A">
        <w:rPr>
          <w:sz w:val="24"/>
          <w:szCs w:val="24"/>
        </w:rPr>
        <w:t>ada</w:t>
      </w:r>
      <w:r>
        <w:rPr>
          <w:sz w:val="24"/>
          <w:szCs w:val="24"/>
        </w:rPr>
        <w:t xml:space="preserve">pted from </w:t>
      </w:r>
      <w:r w:rsidRPr="00D3706F">
        <w:rPr>
          <w:sz w:val="24"/>
          <w:szCs w:val="24"/>
        </w:rPr>
        <w:t>Regulation (EU) 2017/746)</w:t>
      </w:r>
    </w:p>
    <w:p w14:paraId="1CDA8CD0" w14:textId="208E9840" w:rsidR="006D2496" w:rsidRDefault="006D2496" w:rsidP="006D2496">
      <w:pPr>
        <w:ind w:left="2880" w:hanging="2880"/>
        <w:jc w:val="both"/>
        <w:rPr>
          <w:sz w:val="24"/>
          <w:szCs w:val="24"/>
        </w:rPr>
      </w:pPr>
      <w:r>
        <w:rPr>
          <w:b/>
          <w:sz w:val="24"/>
          <w:szCs w:val="24"/>
        </w:rPr>
        <w:t>P</w:t>
      </w:r>
      <w:r w:rsidRPr="00D3706F">
        <w:rPr>
          <w:b/>
          <w:sz w:val="24"/>
          <w:szCs w:val="24"/>
        </w:rPr>
        <w:t>ositive predictive value</w:t>
      </w:r>
      <w:r>
        <w:rPr>
          <w:sz w:val="24"/>
          <w:szCs w:val="24"/>
        </w:rPr>
        <w:tab/>
      </w:r>
      <w:r w:rsidR="00F330B7">
        <w:rPr>
          <w:sz w:val="24"/>
          <w:szCs w:val="24"/>
        </w:rPr>
        <w:t>T</w:t>
      </w:r>
      <w:r w:rsidRPr="00D3706F">
        <w:rPr>
          <w:sz w:val="24"/>
          <w:szCs w:val="24"/>
        </w:rPr>
        <w:t xml:space="preserve">he ability of a </w:t>
      </w:r>
      <w:r>
        <w:rPr>
          <w:sz w:val="24"/>
          <w:szCs w:val="24"/>
        </w:rPr>
        <w:t>donor testing kit/assay</w:t>
      </w:r>
      <w:r w:rsidR="00F3360A">
        <w:rPr>
          <w:sz w:val="24"/>
          <w:szCs w:val="24"/>
        </w:rPr>
        <w:t xml:space="preserve"> </w:t>
      </w:r>
      <w:r w:rsidRPr="00D3706F">
        <w:rPr>
          <w:sz w:val="24"/>
          <w:szCs w:val="24"/>
        </w:rPr>
        <w:t>to separate true positive results from false positive results for a given attribute in a given population (</w:t>
      </w:r>
      <w:r w:rsidR="00F330B7">
        <w:rPr>
          <w:sz w:val="24"/>
          <w:szCs w:val="24"/>
        </w:rPr>
        <w:t>ada</w:t>
      </w:r>
      <w:r>
        <w:rPr>
          <w:sz w:val="24"/>
          <w:szCs w:val="24"/>
        </w:rPr>
        <w:t xml:space="preserve">pted from </w:t>
      </w:r>
      <w:r w:rsidRPr="00D3706F">
        <w:rPr>
          <w:sz w:val="24"/>
          <w:szCs w:val="24"/>
        </w:rPr>
        <w:t>Regulation (EU) 2017/746)</w:t>
      </w:r>
    </w:p>
    <w:p w14:paraId="7F071E90" w14:textId="4F397A14" w:rsidR="006D2496" w:rsidRDefault="006D2496" w:rsidP="006D2496">
      <w:pPr>
        <w:ind w:left="2160" w:hanging="2160"/>
        <w:jc w:val="both"/>
        <w:rPr>
          <w:sz w:val="24"/>
          <w:szCs w:val="24"/>
        </w:rPr>
      </w:pPr>
      <w:r>
        <w:rPr>
          <w:b/>
          <w:sz w:val="24"/>
          <w:szCs w:val="24"/>
        </w:rPr>
        <w:t>P</w:t>
      </w:r>
      <w:r w:rsidRPr="00D3706F">
        <w:rPr>
          <w:b/>
          <w:sz w:val="24"/>
          <w:szCs w:val="24"/>
        </w:rPr>
        <w:t>redictive value</w:t>
      </w:r>
      <w:r>
        <w:rPr>
          <w:sz w:val="24"/>
          <w:szCs w:val="24"/>
        </w:rPr>
        <w:tab/>
      </w:r>
      <w:r w:rsidR="008F4117">
        <w:rPr>
          <w:sz w:val="24"/>
          <w:szCs w:val="24"/>
        </w:rPr>
        <w:t>T</w:t>
      </w:r>
      <w:r w:rsidRPr="00D3706F">
        <w:rPr>
          <w:sz w:val="24"/>
          <w:szCs w:val="24"/>
        </w:rPr>
        <w:t>he probability that a person with a positive test result has a given condition under investigation, or that a person with a negative test result does not have a given condition (</w:t>
      </w:r>
      <w:r>
        <w:rPr>
          <w:sz w:val="24"/>
          <w:szCs w:val="24"/>
        </w:rPr>
        <w:t xml:space="preserve">adopted from </w:t>
      </w:r>
      <w:r w:rsidRPr="00D3706F">
        <w:rPr>
          <w:sz w:val="24"/>
          <w:szCs w:val="24"/>
        </w:rPr>
        <w:t>Regulation (EU) 2017/746)</w:t>
      </w:r>
    </w:p>
    <w:p w14:paraId="6D63D187" w14:textId="46D1FBAA" w:rsidR="006D2496" w:rsidRPr="006D2496" w:rsidRDefault="006D2496" w:rsidP="006D2496">
      <w:pPr>
        <w:ind w:left="2160" w:hanging="2160"/>
        <w:jc w:val="both"/>
        <w:rPr>
          <w:b/>
          <w:sz w:val="24"/>
          <w:szCs w:val="24"/>
        </w:rPr>
      </w:pPr>
      <w:r w:rsidRPr="006D2496">
        <w:rPr>
          <w:b/>
          <w:sz w:val="24"/>
          <w:szCs w:val="24"/>
        </w:rPr>
        <w:t>Proficiency testing</w:t>
      </w:r>
      <w:r w:rsidRPr="006D2496">
        <w:rPr>
          <w:sz w:val="24"/>
          <w:szCs w:val="24"/>
        </w:rPr>
        <w:tab/>
        <w:t xml:space="preserve">The evaluation of participant performance against pre-established criteria by means of external quality assessment scheme, inter-laboratory comparisons by use of externally sourced samples or panels (EDQM Blood </w:t>
      </w:r>
      <w:r w:rsidRPr="001B0C31">
        <w:rPr>
          <w:sz w:val="24"/>
          <w:szCs w:val="24"/>
        </w:rPr>
        <w:t>guide).</w:t>
      </w:r>
    </w:p>
    <w:p w14:paraId="655183DC" w14:textId="43026AF5" w:rsidR="00CB44E2" w:rsidRDefault="00CB44E2" w:rsidP="002B2241">
      <w:pPr>
        <w:pStyle w:val="BodytextAgency"/>
        <w:ind w:left="2160" w:hanging="2160"/>
        <w:jc w:val="both"/>
        <w:rPr>
          <w:rFonts w:asciiTheme="minorHAnsi" w:hAnsiTheme="minorHAnsi" w:cstheme="minorHAnsi"/>
          <w:sz w:val="24"/>
          <w:szCs w:val="24"/>
        </w:rPr>
      </w:pPr>
      <w:r w:rsidRPr="00CB44E2">
        <w:rPr>
          <w:rFonts w:asciiTheme="minorHAnsi" w:hAnsiTheme="minorHAnsi" w:cstheme="minorHAnsi"/>
          <w:b/>
          <w:sz w:val="24"/>
          <w:szCs w:val="24"/>
        </w:rPr>
        <w:t>Qualification</w:t>
      </w:r>
      <w:r w:rsidRPr="00CB44E2">
        <w:rPr>
          <w:rFonts w:asciiTheme="minorHAnsi" w:hAnsiTheme="minorHAnsi" w:cstheme="minorHAnsi"/>
          <w:b/>
          <w:sz w:val="24"/>
          <w:szCs w:val="24"/>
        </w:rPr>
        <w:tab/>
      </w:r>
      <w:r w:rsidR="002B2241" w:rsidRPr="002B2241">
        <w:rPr>
          <w:rFonts w:asciiTheme="minorHAnsi" w:hAnsiTheme="minorHAnsi" w:cstheme="minorHAnsi"/>
          <w:sz w:val="24"/>
          <w:szCs w:val="24"/>
        </w:rPr>
        <w:t>A</w:t>
      </w:r>
      <w:r w:rsidRPr="00CB44E2">
        <w:rPr>
          <w:rFonts w:asciiTheme="minorHAnsi" w:hAnsiTheme="minorHAnsi" w:cstheme="minorHAnsi"/>
          <w:sz w:val="24"/>
          <w:szCs w:val="24"/>
        </w:rPr>
        <w:t>s part of validation, means the action of verifying that any personnel, premises, equipment or material works correctly and delivers the expected results</w:t>
      </w:r>
      <w:r w:rsidR="002B2241">
        <w:rPr>
          <w:rFonts w:asciiTheme="minorHAnsi" w:hAnsiTheme="minorHAnsi" w:cstheme="minorHAnsi"/>
          <w:sz w:val="24"/>
          <w:szCs w:val="24"/>
        </w:rPr>
        <w:t>.</w:t>
      </w:r>
      <w:r w:rsidRPr="00CB44E2">
        <w:rPr>
          <w:rFonts w:asciiTheme="minorHAnsi" w:hAnsiTheme="minorHAnsi" w:cstheme="minorHAnsi"/>
          <w:sz w:val="24"/>
          <w:szCs w:val="24"/>
        </w:rPr>
        <w:t xml:space="preserve"> (</w:t>
      </w:r>
      <w:r w:rsidR="00C864C8">
        <w:rPr>
          <w:rFonts w:asciiTheme="minorHAnsi" w:hAnsiTheme="minorHAnsi" w:cstheme="minorHAnsi"/>
          <w:sz w:val="24"/>
          <w:szCs w:val="24"/>
        </w:rPr>
        <w:t xml:space="preserve">Directive </w:t>
      </w:r>
      <w:r w:rsidRPr="00CB44E2">
        <w:rPr>
          <w:rFonts w:asciiTheme="minorHAnsi" w:hAnsiTheme="minorHAnsi" w:cstheme="minorHAnsi"/>
          <w:sz w:val="24"/>
          <w:szCs w:val="24"/>
        </w:rPr>
        <w:t>2005/62/EC)</w:t>
      </w:r>
    </w:p>
    <w:p w14:paraId="1E5A42F8" w14:textId="187ABFB8" w:rsidR="00CB44E2" w:rsidRDefault="00CB44E2" w:rsidP="00A11CDD">
      <w:pPr>
        <w:pStyle w:val="BodytextAgency"/>
        <w:ind w:left="2160" w:hanging="2160"/>
        <w:jc w:val="both"/>
        <w:rPr>
          <w:rFonts w:asciiTheme="minorHAnsi" w:hAnsiTheme="minorHAnsi" w:cstheme="minorHAnsi"/>
          <w:sz w:val="24"/>
          <w:szCs w:val="24"/>
        </w:rPr>
      </w:pPr>
      <w:r w:rsidRPr="00CB44E2">
        <w:rPr>
          <w:rFonts w:asciiTheme="minorHAnsi" w:hAnsiTheme="minorHAnsi" w:cstheme="minorHAnsi"/>
          <w:b/>
          <w:sz w:val="24"/>
          <w:szCs w:val="24"/>
        </w:rPr>
        <w:t>Quality system</w:t>
      </w:r>
      <w:r w:rsidRPr="00CB44E2">
        <w:rPr>
          <w:rFonts w:asciiTheme="minorHAnsi" w:hAnsiTheme="minorHAnsi" w:cstheme="minorHAnsi"/>
          <w:b/>
          <w:sz w:val="24"/>
          <w:szCs w:val="24"/>
        </w:rPr>
        <w:tab/>
      </w:r>
      <w:r w:rsidRPr="00CB44E2">
        <w:rPr>
          <w:rFonts w:asciiTheme="minorHAnsi" w:hAnsiTheme="minorHAnsi" w:cstheme="minorHAnsi"/>
          <w:sz w:val="24"/>
          <w:szCs w:val="24"/>
        </w:rPr>
        <w:t>The organisational structure, defined responsibilities, procedures, processes, and resources for implementing quality management and includes all activities which contribute to quality, directly or indirectly</w:t>
      </w:r>
      <w:r w:rsidR="00EE3F02">
        <w:rPr>
          <w:rFonts w:asciiTheme="minorHAnsi" w:hAnsiTheme="minorHAnsi" w:cstheme="minorHAnsi"/>
          <w:sz w:val="24"/>
          <w:szCs w:val="24"/>
        </w:rPr>
        <w:t xml:space="preserve"> </w:t>
      </w:r>
      <w:r w:rsidRPr="00CB44E2">
        <w:rPr>
          <w:rFonts w:asciiTheme="minorHAnsi" w:hAnsiTheme="minorHAnsi" w:cstheme="minorHAnsi"/>
          <w:sz w:val="24"/>
          <w:szCs w:val="24"/>
        </w:rPr>
        <w:t>(</w:t>
      </w:r>
      <w:r w:rsidR="00C864C8">
        <w:rPr>
          <w:rFonts w:asciiTheme="minorHAnsi" w:hAnsiTheme="minorHAnsi" w:cstheme="minorHAnsi"/>
          <w:sz w:val="24"/>
          <w:szCs w:val="24"/>
        </w:rPr>
        <w:t xml:space="preserve">Directives </w:t>
      </w:r>
      <w:r w:rsidRPr="00CB44E2">
        <w:rPr>
          <w:rFonts w:asciiTheme="minorHAnsi" w:hAnsiTheme="minorHAnsi" w:cstheme="minorHAnsi"/>
          <w:sz w:val="24"/>
          <w:szCs w:val="24"/>
        </w:rPr>
        <w:t xml:space="preserve">2005/62/EC, 2006/17/EC). </w:t>
      </w:r>
    </w:p>
    <w:p w14:paraId="1D6B73F7" w14:textId="54CF1B61" w:rsidR="00A51A32" w:rsidRDefault="00A51A32" w:rsidP="002B2241">
      <w:pPr>
        <w:pStyle w:val="BodytextAgency"/>
        <w:ind w:left="2160" w:hanging="2160"/>
        <w:rPr>
          <w:rFonts w:asciiTheme="minorHAnsi" w:hAnsiTheme="minorHAnsi" w:cstheme="minorHAnsi"/>
          <w:sz w:val="24"/>
          <w:szCs w:val="24"/>
        </w:rPr>
      </w:pPr>
      <w:r w:rsidRPr="00A51A32">
        <w:rPr>
          <w:rFonts w:asciiTheme="minorHAnsi" w:hAnsiTheme="minorHAnsi" w:cstheme="minorHAnsi"/>
          <w:b/>
          <w:sz w:val="24"/>
          <w:szCs w:val="24"/>
        </w:rPr>
        <w:t>Rapid test</w:t>
      </w:r>
      <w:r>
        <w:rPr>
          <w:rFonts w:asciiTheme="minorHAnsi" w:hAnsiTheme="minorHAnsi" w:cstheme="minorHAnsi"/>
          <w:sz w:val="24"/>
          <w:szCs w:val="24"/>
        </w:rPr>
        <w:tab/>
      </w:r>
      <w:r w:rsidR="002B2241">
        <w:rPr>
          <w:rFonts w:asciiTheme="minorHAnsi" w:hAnsiTheme="minorHAnsi" w:cstheme="minorHAnsi"/>
          <w:sz w:val="24"/>
          <w:szCs w:val="24"/>
        </w:rPr>
        <w:t>Q</w:t>
      </w:r>
      <w:r w:rsidRPr="00A51A32">
        <w:rPr>
          <w:rFonts w:asciiTheme="minorHAnsi" w:hAnsiTheme="minorHAnsi" w:cstheme="minorHAnsi"/>
          <w:sz w:val="24"/>
          <w:szCs w:val="24"/>
        </w:rPr>
        <w:t xml:space="preserve">ualitative or semi-quantitative </w:t>
      </w:r>
      <w:r w:rsidRPr="00A51A32">
        <w:rPr>
          <w:rFonts w:asciiTheme="minorHAnsi" w:hAnsiTheme="minorHAnsi" w:cstheme="minorHAnsi"/>
          <w:i/>
          <w:sz w:val="24"/>
          <w:szCs w:val="24"/>
        </w:rPr>
        <w:t>in vitro</w:t>
      </w:r>
      <w:r w:rsidRPr="00A51A32">
        <w:rPr>
          <w:rFonts w:asciiTheme="minorHAnsi" w:hAnsiTheme="minorHAnsi" w:cstheme="minorHAnsi"/>
          <w:sz w:val="24"/>
          <w:szCs w:val="24"/>
        </w:rPr>
        <w:t xml:space="preserve"> diagnostic medical devices, used singly or in a small series, which involve non-automated procedures and have been designed to give a fast result (Official Journal of the European Union L 318/25).</w:t>
      </w:r>
    </w:p>
    <w:p w14:paraId="13B15F6E" w14:textId="061DB299" w:rsidR="00C864C8" w:rsidRDefault="00C864C8" w:rsidP="00C864C8">
      <w:pPr>
        <w:ind w:left="2160" w:hanging="2160"/>
        <w:jc w:val="both"/>
        <w:rPr>
          <w:b/>
          <w:sz w:val="24"/>
          <w:szCs w:val="24"/>
        </w:rPr>
      </w:pPr>
      <w:r>
        <w:rPr>
          <w:b/>
          <w:sz w:val="24"/>
          <w:szCs w:val="24"/>
        </w:rPr>
        <w:t>Reproductive cells</w:t>
      </w:r>
      <w:r w:rsidRPr="00C864C8">
        <w:rPr>
          <w:b/>
          <w:sz w:val="24"/>
          <w:szCs w:val="24"/>
        </w:rPr>
        <w:t xml:space="preserve"> </w:t>
      </w:r>
      <w:r>
        <w:rPr>
          <w:b/>
          <w:sz w:val="24"/>
          <w:szCs w:val="24"/>
        </w:rPr>
        <w:tab/>
      </w:r>
      <w:r w:rsidRPr="00C864C8">
        <w:rPr>
          <w:sz w:val="24"/>
          <w:szCs w:val="24"/>
        </w:rPr>
        <w:t>All tissues and cells intended to be</w:t>
      </w:r>
      <w:r>
        <w:rPr>
          <w:sz w:val="24"/>
          <w:szCs w:val="24"/>
        </w:rPr>
        <w:t xml:space="preserve"> </w:t>
      </w:r>
      <w:r w:rsidRPr="00C864C8">
        <w:rPr>
          <w:sz w:val="24"/>
          <w:szCs w:val="24"/>
        </w:rPr>
        <w:t xml:space="preserve">used for the purpose of </w:t>
      </w:r>
      <w:r>
        <w:rPr>
          <w:sz w:val="24"/>
          <w:szCs w:val="24"/>
        </w:rPr>
        <w:t xml:space="preserve">medically </w:t>
      </w:r>
      <w:r w:rsidRPr="00C864C8">
        <w:rPr>
          <w:sz w:val="24"/>
          <w:szCs w:val="24"/>
        </w:rPr>
        <w:t>assisted reproduction</w:t>
      </w:r>
      <w:r>
        <w:rPr>
          <w:sz w:val="24"/>
          <w:szCs w:val="24"/>
        </w:rPr>
        <w:t xml:space="preserve"> (adapted from Directive 2006/17/EC)</w:t>
      </w:r>
    </w:p>
    <w:p w14:paraId="4219AA5E" w14:textId="353C865B" w:rsidR="00CB44E2" w:rsidRPr="00CB44E2" w:rsidRDefault="00F330B7" w:rsidP="00F330B7">
      <w:pPr>
        <w:ind w:left="2160" w:hanging="2160"/>
        <w:jc w:val="both"/>
        <w:rPr>
          <w:sz w:val="24"/>
          <w:szCs w:val="24"/>
        </w:rPr>
      </w:pPr>
      <w:r w:rsidRPr="00F330B7">
        <w:rPr>
          <w:b/>
          <w:sz w:val="24"/>
          <w:szCs w:val="24"/>
        </w:rPr>
        <w:t>The sterility assurance level (SAL)</w:t>
      </w:r>
      <w:r w:rsidR="00CB44E2">
        <w:rPr>
          <w:b/>
          <w:sz w:val="24"/>
          <w:szCs w:val="24"/>
        </w:rPr>
        <w:tab/>
      </w:r>
      <w:r w:rsidRPr="00F330B7">
        <w:rPr>
          <w:sz w:val="24"/>
          <w:szCs w:val="24"/>
        </w:rPr>
        <w:t>T</w:t>
      </w:r>
      <w:r w:rsidR="00CB44E2" w:rsidRPr="00FF47ED">
        <w:rPr>
          <w:sz w:val="24"/>
          <w:szCs w:val="24"/>
        </w:rPr>
        <w:t>he probability of a micro</w:t>
      </w:r>
      <w:r>
        <w:rPr>
          <w:sz w:val="24"/>
          <w:szCs w:val="24"/>
        </w:rPr>
        <w:t>-</w:t>
      </w:r>
      <w:r w:rsidR="00CB44E2" w:rsidRPr="00FF47ED">
        <w:rPr>
          <w:sz w:val="24"/>
          <w:szCs w:val="24"/>
        </w:rPr>
        <w:t>organism on one item within a batch or within a defi</w:t>
      </w:r>
      <w:r w:rsidR="00CB44E2">
        <w:rPr>
          <w:sz w:val="24"/>
          <w:szCs w:val="24"/>
        </w:rPr>
        <w:t>ned population. (Ph.Eur. 5.1.1)</w:t>
      </w:r>
    </w:p>
    <w:p w14:paraId="4B5D638A" w14:textId="0CF4C224" w:rsidR="007E6B08" w:rsidRPr="007E6B08" w:rsidRDefault="007E6B08" w:rsidP="00F330B7">
      <w:pPr>
        <w:pStyle w:val="BodytextAgency"/>
        <w:ind w:left="2160" w:hanging="2160"/>
        <w:jc w:val="both"/>
        <w:rPr>
          <w:rFonts w:asciiTheme="minorHAnsi" w:eastAsiaTheme="minorEastAsia" w:hAnsiTheme="minorHAnsi" w:cstheme="minorBidi"/>
          <w:sz w:val="24"/>
          <w:szCs w:val="24"/>
          <w:lang w:val="en-US" w:eastAsia="ja-JP"/>
        </w:rPr>
      </w:pPr>
      <w:r>
        <w:rPr>
          <w:rFonts w:asciiTheme="minorHAnsi" w:hAnsiTheme="minorHAnsi" w:cstheme="minorHAnsi"/>
          <w:b/>
          <w:sz w:val="24"/>
          <w:szCs w:val="24"/>
        </w:rPr>
        <w:lastRenderedPageBreak/>
        <w:t>S</w:t>
      </w:r>
      <w:r w:rsidRPr="007E6B08">
        <w:rPr>
          <w:rFonts w:asciiTheme="minorHAnsi" w:hAnsiTheme="minorHAnsi" w:cstheme="minorHAnsi"/>
          <w:b/>
          <w:sz w:val="24"/>
          <w:szCs w:val="24"/>
        </w:rPr>
        <w:t>piking</w:t>
      </w:r>
      <w:r>
        <w:rPr>
          <w:rFonts w:asciiTheme="minorHAnsi" w:hAnsiTheme="minorHAnsi" w:cstheme="minorHAnsi"/>
          <w:b/>
          <w:sz w:val="24"/>
          <w:szCs w:val="24"/>
        </w:rPr>
        <w:tab/>
      </w:r>
      <w:r w:rsidRPr="007E6B08">
        <w:rPr>
          <w:rFonts w:asciiTheme="minorHAnsi" w:eastAsiaTheme="minorEastAsia" w:hAnsiTheme="minorHAnsi" w:cstheme="minorBidi"/>
          <w:sz w:val="24"/>
          <w:szCs w:val="24"/>
          <w:lang w:val="en-US" w:eastAsia="ja-JP"/>
        </w:rPr>
        <w:t>The addition of a known amount of a compound to a standard, sample or</w:t>
      </w:r>
      <w:r>
        <w:rPr>
          <w:rFonts w:asciiTheme="minorHAnsi" w:eastAsiaTheme="minorEastAsia" w:hAnsiTheme="minorHAnsi" w:cstheme="minorBidi"/>
          <w:sz w:val="24"/>
          <w:szCs w:val="24"/>
          <w:lang w:val="en-US" w:eastAsia="ja-JP"/>
        </w:rPr>
        <w:t xml:space="preserve"> p</w:t>
      </w:r>
      <w:r w:rsidRPr="007E6B08">
        <w:rPr>
          <w:rFonts w:asciiTheme="minorHAnsi" w:eastAsiaTheme="minorEastAsia" w:hAnsiTheme="minorHAnsi" w:cstheme="minorBidi"/>
          <w:sz w:val="24"/>
          <w:szCs w:val="24"/>
          <w:lang w:val="en-US" w:eastAsia="ja-JP"/>
        </w:rPr>
        <w:t>lacebo, typ</w:t>
      </w:r>
      <w:r>
        <w:rPr>
          <w:rFonts w:asciiTheme="minorHAnsi" w:eastAsiaTheme="minorEastAsia" w:hAnsiTheme="minorHAnsi" w:cstheme="minorBidi"/>
          <w:sz w:val="24"/>
          <w:szCs w:val="24"/>
          <w:lang w:val="en-US" w:eastAsia="ja-JP"/>
        </w:rPr>
        <w:t>ically for the purpose of confi</w:t>
      </w:r>
      <w:r w:rsidRPr="007E6B08">
        <w:rPr>
          <w:rFonts w:asciiTheme="minorHAnsi" w:eastAsiaTheme="minorEastAsia" w:hAnsiTheme="minorHAnsi" w:cstheme="minorBidi"/>
          <w:sz w:val="24"/>
          <w:szCs w:val="24"/>
          <w:lang w:val="en-US" w:eastAsia="ja-JP"/>
        </w:rPr>
        <w:t>rming the performance of an</w:t>
      </w:r>
      <w:r>
        <w:rPr>
          <w:rFonts w:asciiTheme="minorHAnsi" w:eastAsiaTheme="minorEastAsia" w:hAnsiTheme="minorHAnsi" w:cstheme="minorBidi"/>
          <w:sz w:val="24"/>
          <w:szCs w:val="24"/>
          <w:lang w:val="en-US" w:eastAsia="ja-JP"/>
        </w:rPr>
        <w:t xml:space="preserve"> </w:t>
      </w:r>
      <w:r w:rsidRPr="007E6B08">
        <w:rPr>
          <w:rFonts w:asciiTheme="minorHAnsi" w:eastAsiaTheme="minorEastAsia" w:hAnsiTheme="minorHAnsi" w:cstheme="minorBidi"/>
          <w:sz w:val="24"/>
          <w:szCs w:val="24"/>
          <w:lang w:val="en-US" w:eastAsia="ja-JP"/>
        </w:rPr>
        <w:t>analytical procedure.</w:t>
      </w:r>
      <w:r>
        <w:rPr>
          <w:rFonts w:asciiTheme="minorHAnsi" w:eastAsiaTheme="minorEastAsia" w:hAnsiTheme="minorHAnsi" w:cstheme="minorBidi"/>
          <w:sz w:val="24"/>
          <w:szCs w:val="24"/>
          <w:lang w:val="en-US" w:eastAsia="ja-JP"/>
        </w:rPr>
        <w:t xml:space="preserve"> </w:t>
      </w:r>
      <w:r w:rsidR="0039252B" w:rsidRPr="0039252B">
        <w:rPr>
          <w:rFonts w:asciiTheme="minorHAnsi" w:eastAsiaTheme="minorEastAsia" w:hAnsiTheme="minorHAnsi" w:cstheme="minorBidi"/>
          <w:sz w:val="24"/>
          <w:szCs w:val="24"/>
          <w:lang w:val="en-US" w:eastAsia="ja-JP"/>
        </w:rPr>
        <w:t>(adapted from WHO guidelines on transfer of technology in pharmaceutical manufacturing, Annex 7)</w:t>
      </w:r>
    </w:p>
    <w:p w14:paraId="07C7F6BE" w14:textId="09920921" w:rsidR="00CB44E2" w:rsidRPr="00CB44E2" w:rsidRDefault="00CB44E2" w:rsidP="006B0819">
      <w:pPr>
        <w:pStyle w:val="BodytextAgency"/>
        <w:ind w:left="2160" w:hanging="2160"/>
        <w:jc w:val="both"/>
        <w:rPr>
          <w:rFonts w:asciiTheme="minorHAnsi" w:hAnsiTheme="minorHAnsi" w:cstheme="minorHAnsi"/>
          <w:sz w:val="24"/>
          <w:szCs w:val="24"/>
        </w:rPr>
      </w:pPr>
      <w:r w:rsidRPr="00CB44E2">
        <w:rPr>
          <w:rFonts w:asciiTheme="minorHAnsi" w:hAnsiTheme="minorHAnsi" w:cstheme="minorHAnsi"/>
          <w:b/>
          <w:sz w:val="24"/>
          <w:szCs w:val="24"/>
        </w:rPr>
        <w:t>Standard</w:t>
      </w:r>
      <w:r w:rsidRPr="00CB44E2">
        <w:rPr>
          <w:rFonts w:asciiTheme="minorHAnsi" w:hAnsiTheme="minorHAnsi" w:cstheme="minorHAnsi"/>
          <w:sz w:val="24"/>
          <w:szCs w:val="24"/>
        </w:rPr>
        <w:tab/>
      </w:r>
      <w:r w:rsidR="00F330B7">
        <w:rPr>
          <w:rFonts w:asciiTheme="minorHAnsi" w:hAnsiTheme="minorHAnsi" w:cstheme="minorHAnsi"/>
          <w:sz w:val="24"/>
          <w:szCs w:val="24"/>
        </w:rPr>
        <w:t>T</w:t>
      </w:r>
      <w:r w:rsidRPr="00CB44E2">
        <w:rPr>
          <w:rFonts w:asciiTheme="minorHAnsi" w:hAnsiTheme="minorHAnsi" w:cstheme="minorHAnsi"/>
          <w:sz w:val="24"/>
          <w:szCs w:val="24"/>
        </w:rPr>
        <w:t>he requirements that serve as the basis for comparison (</w:t>
      </w:r>
      <w:r w:rsidR="00C864C8">
        <w:rPr>
          <w:rFonts w:asciiTheme="minorHAnsi" w:hAnsiTheme="minorHAnsi" w:cstheme="minorHAnsi"/>
          <w:sz w:val="24"/>
          <w:szCs w:val="24"/>
        </w:rPr>
        <w:t xml:space="preserve">Directive </w:t>
      </w:r>
      <w:r w:rsidRPr="00CB44E2">
        <w:rPr>
          <w:rFonts w:asciiTheme="minorHAnsi" w:hAnsiTheme="minorHAnsi" w:cstheme="minorHAnsi"/>
          <w:sz w:val="24"/>
          <w:szCs w:val="24"/>
        </w:rPr>
        <w:t>2005/62/EC)</w:t>
      </w:r>
    </w:p>
    <w:p w14:paraId="36DF7378" w14:textId="5C70E0E3" w:rsidR="00951717" w:rsidRPr="00951717" w:rsidRDefault="00CB44E2" w:rsidP="00542BB8">
      <w:pPr>
        <w:ind w:left="2160" w:hanging="2160"/>
        <w:jc w:val="both"/>
        <w:rPr>
          <w:rFonts w:cstheme="minorHAnsi"/>
          <w:sz w:val="24"/>
          <w:szCs w:val="24"/>
        </w:rPr>
      </w:pPr>
      <w:r w:rsidRPr="00FF47ED">
        <w:rPr>
          <w:b/>
          <w:sz w:val="24"/>
          <w:szCs w:val="24"/>
        </w:rPr>
        <w:t>Sterilisation</w:t>
      </w:r>
      <w:r>
        <w:rPr>
          <w:sz w:val="24"/>
          <w:szCs w:val="24"/>
        </w:rPr>
        <w:tab/>
      </w:r>
      <w:r w:rsidR="00951717">
        <w:rPr>
          <w:rFonts w:cstheme="minorHAnsi"/>
          <w:sz w:val="24"/>
          <w:szCs w:val="24"/>
        </w:rPr>
        <w:t>Any process that eliminates or inactivates transmissible infectious agents (pathogens) containing nucleic acids, e.g. vegetative and spore forms of bacteria and fungi, parasites or viruses, present on a surface, in a fluid, in medication or in a compound such as biological culture media. Sterilisation can be achieved by applying the proper combinations or conditions of heat, chemicals, irradiation, high pressure and filtration</w:t>
      </w:r>
      <w:r w:rsidR="002B2241">
        <w:rPr>
          <w:rFonts w:cstheme="minorHAnsi"/>
          <w:sz w:val="24"/>
          <w:szCs w:val="24"/>
        </w:rPr>
        <w:t>. (EDQM T&amp;C Guide)</w:t>
      </w:r>
    </w:p>
    <w:p w14:paraId="53880ADD" w14:textId="5B36D102" w:rsidR="00CB44E2" w:rsidRDefault="00CB44E2" w:rsidP="00542BB8">
      <w:pPr>
        <w:ind w:left="2160" w:hanging="2160"/>
        <w:jc w:val="both"/>
        <w:rPr>
          <w:sz w:val="24"/>
          <w:szCs w:val="24"/>
        </w:rPr>
      </w:pPr>
      <w:r w:rsidRPr="00FF47ED">
        <w:rPr>
          <w:b/>
          <w:sz w:val="24"/>
          <w:szCs w:val="24"/>
        </w:rPr>
        <w:t>Sterility</w:t>
      </w:r>
      <w:r w:rsidRPr="00FF47ED">
        <w:rPr>
          <w:sz w:val="24"/>
          <w:szCs w:val="24"/>
        </w:rPr>
        <w:t xml:space="preserve"> </w:t>
      </w:r>
      <w:r w:rsidR="002B2241">
        <w:rPr>
          <w:sz w:val="24"/>
          <w:szCs w:val="24"/>
        </w:rPr>
        <w:tab/>
        <w:t>T</w:t>
      </w:r>
      <w:r w:rsidRPr="00FF47ED">
        <w:rPr>
          <w:sz w:val="24"/>
          <w:szCs w:val="24"/>
        </w:rPr>
        <w:t xml:space="preserve">he absence of viable microorganisms, as defined by a sterility assurance level (SAL) </w:t>
      </w:r>
      <w:r w:rsidR="007F260C" w:rsidRPr="00FF47ED">
        <w:rPr>
          <w:sz w:val="24"/>
          <w:szCs w:val="24"/>
        </w:rPr>
        <w:t>equal</w:t>
      </w:r>
      <w:r w:rsidRPr="00FF47ED">
        <w:rPr>
          <w:sz w:val="24"/>
          <w:szCs w:val="24"/>
        </w:rPr>
        <w:t xml:space="preserve"> to or less than 10</w:t>
      </w:r>
      <w:r w:rsidRPr="002B2241">
        <w:rPr>
          <w:sz w:val="24"/>
          <w:szCs w:val="24"/>
          <w:vertAlign w:val="superscript"/>
        </w:rPr>
        <w:t>-6</w:t>
      </w:r>
      <w:r w:rsidRPr="00FF47ED">
        <w:rPr>
          <w:sz w:val="24"/>
          <w:szCs w:val="24"/>
        </w:rPr>
        <w:t>. (Ph Eur 5.1.1.)</w:t>
      </w:r>
    </w:p>
    <w:p w14:paraId="44ED393E" w14:textId="6530D1DC" w:rsidR="00951717" w:rsidRPr="00951717" w:rsidRDefault="00951717" w:rsidP="00542BB8">
      <w:pPr>
        <w:ind w:left="2160" w:hanging="2160"/>
        <w:jc w:val="both"/>
        <w:rPr>
          <w:rFonts w:cstheme="minorHAnsi"/>
          <w:b/>
          <w:sz w:val="24"/>
          <w:szCs w:val="24"/>
        </w:rPr>
      </w:pPr>
      <w:r>
        <w:rPr>
          <w:rFonts w:cstheme="minorHAnsi"/>
          <w:b/>
          <w:sz w:val="24"/>
          <w:szCs w:val="24"/>
        </w:rPr>
        <w:t>Sterility assurance level</w:t>
      </w:r>
      <w:r w:rsidR="002B2241">
        <w:rPr>
          <w:rFonts w:cstheme="minorHAnsi"/>
          <w:b/>
          <w:sz w:val="24"/>
          <w:szCs w:val="24"/>
        </w:rPr>
        <w:t xml:space="preserve"> </w:t>
      </w:r>
      <w:r w:rsidR="008F4117">
        <w:rPr>
          <w:rFonts w:cstheme="minorHAnsi"/>
          <w:b/>
          <w:sz w:val="24"/>
          <w:szCs w:val="24"/>
        </w:rPr>
        <w:t>(SAL)</w:t>
      </w:r>
      <w:r w:rsidR="002B2241">
        <w:rPr>
          <w:rFonts w:cstheme="minorHAnsi"/>
          <w:b/>
          <w:sz w:val="24"/>
          <w:szCs w:val="24"/>
        </w:rPr>
        <w:tab/>
      </w:r>
      <w:r>
        <w:rPr>
          <w:rFonts w:cstheme="minorHAnsi"/>
          <w:sz w:val="24"/>
          <w:szCs w:val="24"/>
        </w:rPr>
        <w:t>Represents the expected probability of a micro-organism surviving on an individual unit of product after exposure to a sterilisation process. SAL 10</w:t>
      </w:r>
      <w:r w:rsidRPr="008F4117">
        <w:rPr>
          <w:rFonts w:cstheme="minorHAnsi"/>
          <w:sz w:val="24"/>
          <w:szCs w:val="24"/>
          <w:vertAlign w:val="superscript"/>
        </w:rPr>
        <w:t>-6</w:t>
      </w:r>
      <w:r>
        <w:rPr>
          <w:rFonts w:cstheme="minorHAnsi"/>
          <w:sz w:val="24"/>
          <w:szCs w:val="24"/>
        </w:rPr>
        <w:t xml:space="preserve"> has been established as the standard for allografts and indicates a probability of one chance in a million that one unit of product will be contaminated with a single organism after a sterilisation process, and grafts are then considered sterile</w:t>
      </w:r>
      <w:r w:rsidR="008F4117">
        <w:rPr>
          <w:rFonts w:cstheme="minorHAnsi"/>
          <w:sz w:val="24"/>
          <w:szCs w:val="24"/>
        </w:rPr>
        <w:t>.</w:t>
      </w:r>
      <w:r w:rsidR="002B2241">
        <w:rPr>
          <w:rFonts w:cstheme="minorHAnsi"/>
          <w:sz w:val="24"/>
          <w:szCs w:val="24"/>
        </w:rPr>
        <w:t xml:space="preserve"> (EDQM T&amp;C Guide)</w:t>
      </w:r>
    </w:p>
    <w:p w14:paraId="49284AE6" w14:textId="0CF12645" w:rsidR="00CB44E2" w:rsidRDefault="00CB44E2" w:rsidP="00542BB8">
      <w:pPr>
        <w:ind w:left="2160" w:hanging="2160"/>
        <w:jc w:val="both"/>
        <w:rPr>
          <w:sz w:val="24"/>
          <w:szCs w:val="24"/>
        </w:rPr>
      </w:pPr>
      <w:r>
        <w:rPr>
          <w:b/>
          <w:sz w:val="24"/>
          <w:szCs w:val="24"/>
        </w:rPr>
        <w:t>Terminal sterilis</w:t>
      </w:r>
      <w:r w:rsidRPr="00FF47ED">
        <w:rPr>
          <w:b/>
          <w:sz w:val="24"/>
          <w:szCs w:val="24"/>
        </w:rPr>
        <w:t>ation</w:t>
      </w:r>
      <w:r w:rsidRPr="00FF47ED">
        <w:rPr>
          <w:sz w:val="24"/>
          <w:szCs w:val="24"/>
        </w:rPr>
        <w:t xml:space="preserve"> </w:t>
      </w:r>
      <w:r w:rsidR="002B2241">
        <w:rPr>
          <w:sz w:val="24"/>
          <w:szCs w:val="24"/>
        </w:rPr>
        <w:tab/>
        <w:t>A</w:t>
      </w:r>
      <w:r w:rsidRPr="00FF47ED">
        <w:rPr>
          <w:sz w:val="24"/>
          <w:szCs w:val="24"/>
        </w:rPr>
        <w:t xml:space="preserve"> process in which the product is sterilised in its </w:t>
      </w:r>
      <w:r>
        <w:rPr>
          <w:sz w:val="24"/>
          <w:szCs w:val="24"/>
        </w:rPr>
        <w:t>final container (Ph.Eur. 5.1.1)</w:t>
      </w:r>
    </w:p>
    <w:p w14:paraId="11563DF5" w14:textId="62E61D63" w:rsidR="00CB44E2" w:rsidRDefault="00CB44E2" w:rsidP="00542BB8">
      <w:pPr>
        <w:ind w:left="2160" w:hanging="2160"/>
        <w:jc w:val="both"/>
        <w:rPr>
          <w:rFonts w:cstheme="minorHAnsi"/>
          <w:sz w:val="24"/>
          <w:szCs w:val="24"/>
        </w:rPr>
      </w:pPr>
      <w:r w:rsidRPr="009D0AC7">
        <w:rPr>
          <w:rFonts w:cstheme="minorHAnsi"/>
          <w:b/>
          <w:sz w:val="24"/>
          <w:szCs w:val="24"/>
        </w:rPr>
        <w:t>Validation</w:t>
      </w:r>
      <w:r>
        <w:rPr>
          <w:rFonts w:cstheme="minorHAnsi"/>
          <w:b/>
          <w:sz w:val="24"/>
          <w:szCs w:val="24"/>
        </w:rPr>
        <w:tab/>
      </w:r>
      <w:r w:rsidR="008566EC" w:rsidRPr="008566EC">
        <w:rPr>
          <w:rFonts w:cstheme="minorHAnsi"/>
          <w:sz w:val="24"/>
          <w:szCs w:val="24"/>
        </w:rPr>
        <w:t>E</w:t>
      </w:r>
      <w:r w:rsidRPr="00424F9B">
        <w:rPr>
          <w:rFonts w:cstheme="minorHAnsi"/>
          <w:sz w:val="24"/>
          <w:szCs w:val="24"/>
        </w:rPr>
        <w:t>stablishing documented evidence that provides a high degree of assurance that a specific process will consistently produce a product meeting its predetermined specifications and quality attributes; a process is validated to evaluate the performance of a system with regard to its effectiveness based on intended use (</w:t>
      </w:r>
      <w:r w:rsidR="00DA71D1">
        <w:rPr>
          <w:rFonts w:cstheme="minorHAnsi"/>
          <w:sz w:val="24"/>
          <w:szCs w:val="24"/>
        </w:rPr>
        <w:t>modified</w:t>
      </w:r>
      <w:r w:rsidR="00F03440">
        <w:rPr>
          <w:rFonts w:cstheme="minorHAnsi"/>
          <w:sz w:val="24"/>
          <w:szCs w:val="24"/>
        </w:rPr>
        <w:t xml:space="preserve"> from </w:t>
      </w:r>
      <w:r w:rsidR="008566EC">
        <w:rPr>
          <w:rFonts w:cstheme="minorHAnsi"/>
          <w:sz w:val="24"/>
          <w:szCs w:val="24"/>
        </w:rPr>
        <w:t>Directive 2006/17/EC</w:t>
      </w:r>
      <w:r>
        <w:rPr>
          <w:rFonts w:cstheme="minorHAnsi"/>
          <w:sz w:val="24"/>
          <w:szCs w:val="24"/>
        </w:rPr>
        <w:t>)</w:t>
      </w:r>
    </w:p>
    <w:p w14:paraId="163E37A0" w14:textId="4689AEEB" w:rsidR="00E84AA2" w:rsidRDefault="00E84AA2" w:rsidP="00542BB8">
      <w:pPr>
        <w:ind w:left="2160" w:hanging="2160"/>
        <w:jc w:val="both"/>
        <w:rPr>
          <w:rFonts w:cstheme="minorHAnsi"/>
          <w:sz w:val="24"/>
          <w:szCs w:val="24"/>
        </w:rPr>
      </w:pPr>
      <w:r w:rsidRPr="00E84AA2">
        <w:rPr>
          <w:rFonts w:cstheme="minorHAnsi"/>
          <w:b/>
          <w:sz w:val="24"/>
          <w:szCs w:val="24"/>
        </w:rPr>
        <w:t>Validation plan</w:t>
      </w:r>
      <w:r>
        <w:rPr>
          <w:rFonts w:cstheme="minorHAnsi"/>
          <w:b/>
          <w:sz w:val="24"/>
          <w:szCs w:val="24"/>
        </w:rPr>
        <w:tab/>
      </w:r>
      <w:r w:rsidRPr="00E84AA2">
        <w:rPr>
          <w:rFonts w:cstheme="minorHAnsi"/>
          <w:sz w:val="24"/>
          <w:szCs w:val="24"/>
        </w:rPr>
        <w:t>A document describing the activities to be performed in a validation,</w:t>
      </w:r>
      <w:r>
        <w:rPr>
          <w:rFonts w:cstheme="minorHAnsi"/>
          <w:sz w:val="24"/>
          <w:szCs w:val="24"/>
        </w:rPr>
        <w:t xml:space="preserve"> </w:t>
      </w:r>
      <w:r w:rsidRPr="00E84AA2">
        <w:rPr>
          <w:rFonts w:cstheme="minorHAnsi"/>
          <w:sz w:val="24"/>
          <w:szCs w:val="24"/>
        </w:rPr>
        <w:t xml:space="preserve">including the acceptance criteria for the approval of a </w:t>
      </w:r>
      <w:r>
        <w:rPr>
          <w:rFonts w:cstheme="minorHAnsi"/>
          <w:sz w:val="24"/>
          <w:szCs w:val="24"/>
        </w:rPr>
        <w:t>process or method</w:t>
      </w:r>
      <w:r w:rsidRPr="00E84AA2">
        <w:rPr>
          <w:rFonts w:cstheme="minorHAnsi"/>
          <w:sz w:val="24"/>
          <w:szCs w:val="24"/>
        </w:rPr>
        <w:t xml:space="preserve"> for routine use.</w:t>
      </w:r>
      <w:r>
        <w:rPr>
          <w:rFonts w:cstheme="minorHAnsi"/>
          <w:sz w:val="24"/>
          <w:szCs w:val="24"/>
        </w:rPr>
        <w:t xml:space="preserve"> (adapted from </w:t>
      </w:r>
      <w:r w:rsidR="0040159C" w:rsidRPr="002B5DF0">
        <w:rPr>
          <w:rFonts w:cstheme="minorHAnsi"/>
          <w:sz w:val="24"/>
          <w:szCs w:val="24"/>
        </w:rPr>
        <w:t>WHO guidelines on transfer of technology in pharma</w:t>
      </w:r>
      <w:r w:rsidR="0040159C">
        <w:rPr>
          <w:rFonts w:cstheme="minorHAnsi"/>
          <w:sz w:val="24"/>
          <w:szCs w:val="24"/>
        </w:rPr>
        <w:t>ceutical manufacturing, Annex 7)</w:t>
      </w:r>
    </w:p>
    <w:p w14:paraId="2B084E5E" w14:textId="42DC090D" w:rsidR="009E32A8" w:rsidRPr="00424F9B" w:rsidRDefault="009E32A8" w:rsidP="00542BB8">
      <w:pPr>
        <w:ind w:left="2160" w:hanging="2160"/>
        <w:jc w:val="both"/>
        <w:rPr>
          <w:rFonts w:cstheme="minorHAnsi"/>
          <w:sz w:val="24"/>
          <w:szCs w:val="24"/>
        </w:rPr>
      </w:pPr>
      <w:r w:rsidRPr="009E32A8">
        <w:rPr>
          <w:rFonts w:cstheme="minorHAnsi"/>
          <w:b/>
          <w:sz w:val="24"/>
          <w:szCs w:val="24"/>
        </w:rPr>
        <w:t>Validation report</w:t>
      </w:r>
      <w:r>
        <w:rPr>
          <w:rFonts w:cstheme="minorHAnsi"/>
          <w:sz w:val="24"/>
          <w:szCs w:val="24"/>
        </w:rPr>
        <w:t xml:space="preserve"> </w:t>
      </w:r>
      <w:r>
        <w:rPr>
          <w:rFonts w:cstheme="minorHAnsi"/>
          <w:sz w:val="24"/>
          <w:szCs w:val="24"/>
        </w:rPr>
        <w:tab/>
      </w:r>
      <w:r w:rsidRPr="009E32A8">
        <w:rPr>
          <w:rFonts w:cstheme="minorHAnsi"/>
          <w:sz w:val="24"/>
          <w:szCs w:val="24"/>
        </w:rPr>
        <w:t>A document in which the records, results and evaluation of a completed</w:t>
      </w:r>
      <w:r>
        <w:rPr>
          <w:rFonts w:cstheme="minorHAnsi"/>
          <w:sz w:val="24"/>
          <w:szCs w:val="24"/>
        </w:rPr>
        <w:t xml:space="preserve"> </w:t>
      </w:r>
      <w:r w:rsidRPr="009E32A8">
        <w:rPr>
          <w:rFonts w:cstheme="minorHAnsi"/>
          <w:sz w:val="24"/>
          <w:szCs w:val="24"/>
        </w:rPr>
        <w:t>validation prog</w:t>
      </w:r>
      <w:r w:rsidR="009D77E8">
        <w:rPr>
          <w:rFonts w:cstheme="minorHAnsi"/>
          <w:sz w:val="24"/>
          <w:szCs w:val="24"/>
        </w:rPr>
        <w:t>ram are assembled and summaris</w:t>
      </w:r>
      <w:r w:rsidRPr="009E32A8">
        <w:rPr>
          <w:rFonts w:cstheme="minorHAnsi"/>
          <w:sz w:val="24"/>
          <w:szCs w:val="24"/>
        </w:rPr>
        <w:t xml:space="preserve">ed. </w:t>
      </w:r>
      <w:r w:rsidR="009D77E8">
        <w:rPr>
          <w:rFonts w:cstheme="minorHAnsi"/>
          <w:sz w:val="24"/>
          <w:szCs w:val="24"/>
        </w:rPr>
        <w:t xml:space="preserve">(adapted from </w:t>
      </w:r>
      <w:r w:rsidR="009D77E8" w:rsidRPr="002B5DF0">
        <w:rPr>
          <w:rFonts w:cstheme="minorHAnsi"/>
          <w:sz w:val="24"/>
          <w:szCs w:val="24"/>
        </w:rPr>
        <w:t>WHO guidelines on transfer of technology in pharma</w:t>
      </w:r>
      <w:r w:rsidR="009D77E8">
        <w:rPr>
          <w:rFonts w:cstheme="minorHAnsi"/>
          <w:sz w:val="24"/>
          <w:szCs w:val="24"/>
        </w:rPr>
        <w:t>ceutical manufacturing, Annex 7)</w:t>
      </w:r>
    </w:p>
    <w:p w14:paraId="48262157" w14:textId="77777777" w:rsidR="00CB44E2" w:rsidRPr="00CB44E2" w:rsidRDefault="00CB44E2" w:rsidP="00424F9B">
      <w:pPr>
        <w:pStyle w:val="BodytextAgency"/>
        <w:ind w:left="720" w:hanging="720"/>
        <w:rPr>
          <w:rFonts w:asciiTheme="minorHAnsi" w:hAnsiTheme="minorHAnsi" w:cstheme="minorHAnsi"/>
          <w:sz w:val="24"/>
          <w:szCs w:val="24"/>
          <w:lang w:val="en-US"/>
        </w:rPr>
      </w:pPr>
    </w:p>
    <w:p w14:paraId="49C5B311" w14:textId="636D28BD" w:rsidR="00F25365" w:rsidRPr="006121F7" w:rsidRDefault="00513B97" w:rsidP="006121F7">
      <w:pPr>
        <w:pStyle w:val="Heading1"/>
      </w:pPr>
      <w:bookmarkStart w:id="58" w:name="_Toc41427187"/>
      <w:commentRangeStart w:id="59"/>
      <w:r>
        <w:t>Appendi</w:t>
      </w:r>
      <w:r w:rsidR="00F25365" w:rsidRPr="006121F7">
        <w:t xml:space="preserve">x </w:t>
      </w:r>
      <w:commentRangeEnd w:id="59"/>
      <w:r w:rsidR="003E0A6B">
        <w:rPr>
          <w:rStyle w:val="CommentReference"/>
          <w:rFonts w:asciiTheme="minorHAnsi" w:eastAsiaTheme="minorEastAsia" w:hAnsiTheme="minorHAnsi" w:cstheme="minorBidi"/>
          <w:color w:val="auto"/>
        </w:rPr>
        <w:commentReference w:id="59"/>
      </w:r>
      <w:r w:rsidR="00F25365" w:rsidRPr="006121F7">
        <w:t>I</w:t>
      </w:r>
      <w:r w:rsidR="00505EB5">
        <w:t xml:space="preserve"> - Assessment </w:t>
      </w:r>
      <w:r w:rsidR="006121F7" w:rsidRPr="006121F7">
        <w:t>checklist</w:t>
      </w:r>
      <w:bookmarkEnd w:id="58"/>
    </w:p>
    <w:p w14:paraId="53127972" w14:textId="41645775" w:rsidR="006121F7" w:rsidRPr="00232A23" w:rsidRDefault="006121F7" w:rsidP="006121F7">
      <w:pPr>
        <w:rPr>
          <w:color w:val="FF0000"/>
          <w:sz w:val="28"/>
          <w:szCs w:val="28"/>
        </w:rPr>
      </w:pPr>
    </w:p>
    <w:tbl>
      <w:tblPr>
        <w:tblStyle w:val="TableGrid"/>
        <w:tblW w:w="11039" w:type="dxa"/>
        <w:tblInd w:w="-680" w:type="dxa"/>
        <w:tblLook w:val="04A0" w:firstRow="1" w:lastRow="0" w:firstColumn="1" w:lastColumn="0" w:noHBand="0" w:noVBand="1"/>
      </w:tblPr>
      <w:tblGrid>
        <w:gridCol w:w="1456"/>
        <w:gridCol w:w="1242"/>
        <w:gridCol w:w="2527"/>
        <w:gridCol w:w="1687"/>
        <w:gridCol w:w="1648"/>
        <w:gridCol w:w="1417"/>
        <w:gridCol w:w="1056"/>
        <w:gridCol w:w="6"/>
      </w:tblGrid>
      <w:tr w:rsidR="000E0EC1" w:rsidRPr="004A42C4" w14:paraId="13F0C45F" w14:textId="77777777" w:rsidTr="00157F9F">
        <w:trPr>
          <w:trHeight w:val="595"/>
        </w:trPr>
        <w:tc>
          <w:tcPr>
            <w:tcW w:w="2698" w:type="dxa"/>
            <w:gridSpan w:val="2"/>
            <w:shd w:val="clear" w:color="auto" w:fill="F2F2F2" w:themeFill="background1" w:themeFillShade="F2"/>
          </w:tcPr>
          <w:p w14:paraId="06C9EE39" w14:textId="3A0F4B3F" w:rsidR="000E0EC1" w:rsidRPr="00157F9F" w:rsidRDefault="00157F9F" w:rsidP="000E0EC1">
            <w:pPr>
              <w:rPr>
                <w:b/>
              </w:rPr>
            </w:pPr>
            <w:r w:rsidRPr="00157F9F">
              <w:rPr>
                <w:b/>
              </w:rPr>
              <w:t>Product :</w:t>
            </w:r>
          </w:p>
        </w:tc>
        <w:tc>
          <w:tcPr>
            <w:tcW w:w="8341" w:type="dxa"/>
            <w:gridSpan w:val="6"/>
          </w:tcPr>
          <w:p w14:paraId="0BC4B217" w14:textId="604804B8" w:rsidR="000E0EC1" w:rsidRPr="000E0EC1" w:rsidRDefault="000E0EC1" w:rsidP="000E0EC1"/>
        </w:tc>
      </w:tr>
      <w:tr w:rsidR="00157F9F" w14:paraId="3E94CC83" w14:textId="77777777" w:rsidTr="00157F9F">
        <w:trPr>
          <w:gridAfter w:val="1"/>
          <w:wAfter w:w="6" w:type="dxa"/>
          <w:trHeight w:val="405"/>
        </w:trPr>
        <w:tc>
          <w:tcPr>
            <w:tcW w:w="2699" w:type="dxa"/>
            <w:gridSpan w:val="2"/>
            <w:shd w:val="clear" w:color="auto" w:fill="F2F2F2" w:themeFill="background1" w:themeFillShade="F2"/>
          </w:tcPr>
          <w:p w14:paraId="3606180A" w14:textId="77777777" w:rsidR="000E0EC1" w:rsidRPr="00157F9F" w:rsidRDefault="000E0EC1" w:rsidP="000E0EC1">
            <w:pPr>
              <w:rPr>
                <w:b/>
              </w:rPr>
            </w:pPr>
            <w:r w:rsidRPr="00157F9F">
              <w:rPr>
                <w:b/>
              </w:rPr>
              <w:t xml:space="preserve">Laboratory </w:t>
            </w:r>
          </w:p>
          <w:p w14:paraId="22D4F85F" w14:textId="77777777" w:rsidR="000E0EC1" w:rsidRPr="00157F9F" w:rsidRDefault="000E0EC1" w:rsidP="000E0EC1">
            <w:pPr>
              <w:rPr>
                <w:b/>
              </w:rPr>
            </w:pPr>
            <w:r w:rsidRPr="00157F9F">
              <w:rPr>
                <w:b/>
              </w:rPr>
              <w:t>requirements</w:t>
            </w:r>
          </w:p>
          <w:p w14:paraId="16AA23D7" w14:textId="77777777" w:rsidR="000E0EC1" w:rsidRPr="00157F9F" w:rsidRDefault="000E0EC1" w:rsidP="000E0EC1">
            <w:pPr>
              <w:rPr>
                <w:b/>
              </w:rPr>
            </w:pPr>
          </w:p>
        </w:tc>
        <w:tc>
          <w:tcPr>
            <w:tcW w:w="2526" w:type="dxa"/>
            <w:shd w:val="clear" w:color="auto" w:fill="F2F2F2" w:themeFill="background1" w:themeFillShade="F2"/>
          </w:tcPr>
          <w:p w14:paraId="42183675" w14:textId="78810860" w:rsidR="000E0EC1" w:rsidRPr="00157F9F" w:rsidRDefault="000E0EC1" w:rsidP="000E0EC1">
            <w:pPr>
              <w:rPr>
                <w:b/>
              </w:rPr>
            </w:pPr>
            <w:r w:rsidRPr="00157F9F">
              <w:rPr>
                <w:b/>
              </w:rPr>
              <w:t xml:space="preserve">Requirements </w:t>
            </w:r>
          </w:p>
        </w:tc>
        <w:tc>
          <w:tcPr>
            <w:tcW w:w="1687" w:type="dxa"/>
            <w:shd w:val="clear" w:color="auto" w:fill="F2F2F2" w:themeFill="background1" w:themeFillShade="F2"/>
          </w:tcPr>
          <w:p w14:paraId="182DB2D8" w14:textId="66F40788" w:rsidR="000E0EC1" w:rsidRPr="00157F9F" w:rsidRDefault="000E0EC1" w:rsidP="000E0EC1">
            <w:pPr>
              <w:rPr>
                <w:b/>
              </w:rPr>
            </w:pPr>
            <w:r w:rsidRPr="00157F9F">
              <w:rPr>
                <w:b/>
              </w:rPr>
              <w:t>Criteria</w:t>
            </w:r>
          </w:p>
        </w:tc>
        <w:tc>
          <w:tcPr>
            <w:tcW w:w="1648" w:type="dxa"/>
            <w:shd w:val="clear" w:color="auto" w:fill="F2F2F2" w:themeFill="background1" w:themeFillShade="F2"/>
          </w:tcPr>
          <w:p w14:paraId="25FBB23F" w14:textId="42B8ED51" w:rsidR="000E0EC1" w:rsidRPr="00157F9F" w:rsidRDefault="000E0EC1" w:rsidP="000E0EC1">
            <w:pPr>
              <w:rPr>
                <w:rFonts w:cstheme="minorHAnsi"/>
                <w:b/>
              </w:rPr>
            </w:pPr>
            <w:r w:rsidRPr="00157F9F">
              <w:rPr>
                <w:rFonts w:cstheme="minorHAnsi"/>
                <w:b/>
              </w:rPr>
              <w:t>Other</w:t>
            </w:r>
          </w:p>
        </w:tc>
        <w:tc>
          <w:tcPr>
            <w:tcW w:w="1417" w:type="dxa"/>
            <w:shd w:val="clear" w:color="auto" w:fill="F2F2F2" w:themeFill="background1" w:themeFillShade="F2"/>
          </w:tcPr>
          <w:p w14:paraId="2C32C3BD" w14:textId="4B08A701" w:rsidR="000E0EC1" w:rsidRPr="00157F9F" w:rsidRDefault="000E0EC1" w:rsidP="000E0EC1">
            <w:pPr>
              <w:rPr>
                <w:b/>
              </w:rPr>
            </w:pPr>
            <w:r w:rsidRPr="00157F9F">
              <w:rPr>
                <w:rFonts w:cstheme="minorHAnsi"/>
                <w:b/>
              </w:rPr>
              <w:t xml:space="preserve">Specifications </w:t>
            </w:r>
          </w:p>
        </w:tc>
        <w:tc>
          <w:tcPr>
            <w:tcW w:w="1056" w:type="dxa"/>
            <w:shd w:val="clear" w:color="auto" w:fill="F2F2F2" w:themeFill="background1" w:themeFillShade="F2"/>
          </w:tcPr>
          <w:p w14:paraId="328BF723" w14:textId="77777777" w:rsidR="000E0EC1" w:rsidRPr="00157F9F" w:rsidRDefault="000E0EC1" w:rsidP="006121F7">
            <w:pPr>
              <w:rPr>
                <w:rFonts w:cstheme="minorHAnsi"/>
                <w:b/>
              </w:rPr>
            </w:pPr>
            <w:r w:rsidRPr="00157F9F">
              <w:rPr>
                <w:rFonts w:cstheme="minorHAnsi"/>
                <w:b/>
              </w:rPr>
              <w:t>Conform</w:t>
            </w:r>
          </w:p>
        </w:tc>
      </w:tr>
      <w:tr w:rsidR="00157F9F" w14:paraId="689A02DA" w14:textId="77777777" w:rsidTr="00157F9F">
        <w:trPr>
          <w:gridAfter w:val="1"/>
          <w:wAfter w:w="7" w:type="dxa"/>
          <w:trHeight w:val="151"/>
        </w:trPr>
        <w:tc>
          <w:tcPr>
            <w:tcW w:w="1456" w:type="dxa"/>
            <w:vMerge w:val="restart"/>
            <w:shd w:val="clear" w:color="auto" w:fill="F2F2F2" w:themeFill="background1" w:themeFillShade="F2"/>
          </w:tcPr>
          <w:p w14:paraId="6A8D39A5" w14:textId="77777777" w:rsidR="00157F9F" w:rsidRPr="00B54DC6" w:rsidRDefault="00157F9F" w:rsidP="000E0EC1">
            <w:pPr>
              <w:rPr>
                <w:sz w:val="20"/>
                <w:szCs w:val="20"/>
              </w:rPr>
            </w:pPr>
            <w:r>
              <w:rPr>
                <w:sz w:val="20"/>
                <w:szCs w:val="20"/>
              </w:rPr>
              <w:t>Donation/</w:t>
            </w:r>
          </w:p>
          <w:p w14:paraId="590F9351" w14:textId="46E957EA" w:rsidR="00157F9F" w:rsidRPr="000E0EC1" w:rsidRDefault="00157F9F" w:rsidP="000E0EC1">
            <w:r>
              <w:rPr>
                <w:sz w:val="20"/>
                <w:szCs w:val="20"/>
              </w:rPr>
              <w:t>donor screening laboratory</w:t>
            </w:r>
          </w:p>
        </w:tc>
        <w:tc>
          <w:tcPr>
            <w:tcW w:w="1298" w:type="dxa"/>
            <w:shd w:val="clear" w:color="auto" w:fill="F2F2F2" w:themeFill="background1" w:themeFillShade="F2"/>
          </w:tcPr>
          <w:p w14:paraId="2460DA64" w14:textId="36F88E08" w:rsidR="00157F9F" w:rsidRPr="000E0EC1" w:rsidRDefault="00157F9F" w:rsidP="000E0EC1">
            <w:r>
              <w:rPr>
                <w:sz w:val="20"/>
                <w:szCs w:val="20"/>
              </w:rPr>
              <w:t>Laboratory</w:t>
            </w:r>
          </w:p>
        </w:tc>
        <w:tc>
          <w:tcPr>
            <w:tcW w:w="2966" w:type="dxa"/>
            <w:shd w:val="clear" w:color="auto" w:fill="F2F2F2" w:themeFill="background1" w:themeFillShade="F2"/>
          </w:tcPr>
          <w:p w14:paraId="2B103C61" w14:textId="77777777" w:rsidR="00157F9F" w:rsidRDefault="00157F9F" w:rsidP="000E0EC1">
            <w:pPr>
              <w:rPr>
                <w:sz w:val="20"/>
                <w:szCs w:val="20"/>
              </w:rPr>
            </w:pPr>
            <w:r>
              <w:rPr>
                <w:sz w:val="20"/>
                <w:szCs w:val="20"/>
              </w:rPr>
              <w:t>Quality system(s) of the laboratory</w:t>
            </w:r>
          </w:p>
          <w:p w14:paraId="28E90CE9" w14:textId="77777777" w:rsidR="00157F9F" w:rsidRDefault="00157F9F" w:rsidP="000E0EC1">
            <w:pPr>
              <w:rPr>
                <w:sz w:val="20"/>
                <w:szCs w:val="20"/>
              </w:rPr>
            </w:pPr>
          </w:p>
          <w:p w14:paraId="3D5C82D5" w14:textId="77777777" w:rsidR="00157F9F" w:rsidRPr="000E0EC1" w:rsidRDefault="00157F9F" w:rsidP="000E0EC1"/>
        </w:tc>
        <w:tc>
          <w:tcPr>
            <w:tcW w:w="1723" w:type="dxa"/>
            <w:shd w:val="clear" w:color="auto" w:fill="auto"/>
          </w:tcPr>
          <w:p w14:paraId="4133A0FB" w14:textId="77777777" w:rsidR="00157F9F" w:rsidRDefault="00157F9F" w:rsidP="00157F9F">
            <w:pPr>
              <w:rPr>
                <w:sz w:val="20"/>
                <w:szCs w:val="20"/>
              </w:rPr>
            </w:pPr>
            <w:r>
              <w:rPr>
                <w:sz w:val="20"/>
                <w:szCs w:val="20"/>
              </w:rPr>
              <w:t>2005/62/EC / Blood donations</w:t>
            </w:r>
          </w:p>
          <w:p w14:paraId="74B3A45B" w14:textId="77777777" w:rsidR="00157F9F" w:rsidRDefault="00157F9F" w:rsidP="00157F9F">
            <w:pPr>
              <w:rPr>
                <w:sz w:val="20"/>
                <w:szCs w:val="20"/>
              </w:rPr>
            </w:pPr>
          </w:p>
          <w:p w14:paraId="32A6F2E3" w14:textId="2AB53BD5" w:rsidR="00157F9F" w:rsidRPr="00157F9F" w:rsidRDefault="00157F9F" w:rsidP="00157F9F">
            <w:r>
              <w:rPr>
                <w:sz w:val="20"/>
                <w:szCs w:val="20"/>
              </w:rPr>
              <w:t>2004/23/EC / T&amp;C donors</w:t>
            </w:r>
          </w:p>
        </w:tc>
        <w:tc>
          <w:tcPr>
            <w:tcW w:w="1085" w:type="dxa"/>
          </w:tcPr>
          <w:p w14:paraId="337A3E6D" w14:textId="77777777" w:rsidR="00157F9F" w:rsidRPr="000E0EC1" w:rsidRDefault="00157F9F" w:rsidP="000E0EC1"/>
        </w:tc>
        <w:tc>
          <w:tcPr>
            <w:tcW w:w="1417" w:type="dxa"/>
          </w:tcPr>
          <w:p w14:paraId="49C0D005" w14:textId="43F1EF68" w:rsidR="00157F9F" w:rsidRPr="000E0EC1" w:rsidRDefault="00157F9F" w:rsidP="000E0EC1"/>
        </w:tc>
        <w:tc>
          <w:tcPr>
            <w:tcW w:w="1087" w:type="dxa"/>
          </w:tcPr>
          <w:p w14:paraId="04F93CB1" w14:textId="77777777" w:rsidR="00157F9F" w:rsidRDefault="00157F9F" w:rsidP="000E0EC1">
            <w:pPr>
              <w:rPr>
                <w:sz w:val="24"/>
                <w:szCs w:val="24"/>
              </w:rPr>
            </w:pPr>
          </w:p>
        </w:tc>
      </w:tr>
      <w:tr w:rsidR="00157F9F" w14:paraId="040726C1" w14:textId="77777777" w:rsidTr="00157F9F">
        <w:trPr>
          <w:gridAfter w:val="1"/>
          <w:wAfter w:w="6" w:type="dxa"/>
          <w:trHeight w:val="314"/>
        </w:trPr>
        <w:tc>
          <w:tcPr>
            <w:tcW w:w="1456" w:type="dxa"/>
            <w:vMerge/>
            <w:shd w:val="clear" w:color="auto" w:fill="F2F2F2" w:themeFill="background1" w:themeFillShade="F2"/>
          </w:tcPr>
          <w:p w14:paraId="0B18FF87" w14:textId="77777777" w:rsidR="00157F9F" w:rsidRPr="000E0EC1" w:rsidRDefault="00157F9F" w:rsidP="00157F9F"/>
        </w:tc>
        <w:tc>
          <w:tcPr>
            <w:tcW w:w="1242" w:type="dxa"/>
            <w:vMerge w:val="restart"/>
            <w:shd w:val="clear" w:color="auto" w:fill="auto"/>
          </w:tcPr>
          <w:p w14:paraId="4E47595C" w14:textId="752E9581" w:rsidR="00157F9F" w:rsidRPr="000E0EC1" w:rsidRDefault="00157F9F" w:rsidP="00157F9F">
            <w:r w:rsidRPr="00EA4240">
              <w:rPr>
                <w:sz w:val="20"/>
                <w:szCs w:val="20"/>
              </w:rPr>
              <w:t>Name of the laboratory</w:t>
            </w:r>
          </w:p>
        </w:tc>
        <w:tc>
          <w:tcPr>
            <w:tcW w:w="2527" w:type="dxa"/>
            <w:shd w:val="clear" w:color="auto" w:fill="F2F2F2" w:themeFill="background1" w:themeFillShade="F2"/>
          </w:tcPr>
          <w:p w14:paraId="6DAF5B6A" w14:textId="77777777" w:rsidR="00157F9F" w:rsidRDefault="00157F9F" w:rsidP="00157F9F">
            <w:pPr>
              <w:rPr>
                <w:sz w:val="20"/>
                <w:szCs w:val="20"/>
              </w:rPr>
            </w:pPr>
            <w:r>
              <w:rPr>
                <w:sz w:val="20"/>
                <w:szCs w:val="20"/>
              </w:rPr>
              <w:t>Standard that laboratory follows</w:t>
            </w:r>
          </w:p>
          <w:p w14:paraId="64FF6D1F" w14:textId="77777777" w:rsidR="00157F9F" w:rsidRPr="000E0EC1" w:rsidRDefault="00157F9F" w:rsidP="00157F9F"/>
        </w:tc>
        <w:tc>
          <w:tcPr>
            <w:tcW w:w="1687" w:type="dxa"/>
            <w:shd w:val="clear" w:color="auto" w:fill="auto"/>
          </w:tcPr>
          <w:p w14:paraId="17C5D31E" w14:textId="77777777" w:rsidR="00157F9F" w:rsidRDefault="00157F9F" w:rsidP="00157F9F">
            <w:pPr>
              <w:rPr>
                <w:sz w:val="20"/>
                <w:szCs w:val="20"/>
              </w:rPr>
            </w:pPr>
            <w:r>
              <w:rPr>
                <w:sz w:val="20"/>
                <w:szCs w:val="20"/>
              </w:rPr>
              <w:t>Blood Directives</w:t>
            </w:r>
          </w:p>
          <w:p w14:paraId="1B40DE52" w14:textId="77777777" w:rsidR="00157F9F" w:rsidRDefault="00157F9F" w:rsidP="00157F9F">
            <w:pPr>
              <w:rPr>
                <w:sz w:val="20"/>
                <w:szCs w:val="20"/>
              </w:rPr>
            </w:pPr>
            <w:r>
              <w:rPr>
                <w:sz w:val="20"/>
                <w:szCs w:val="20"/>
              </w:rPr>
              <w:t>Good Practice Guideline/EDQM</w:t>
            </w:r>
          </w:p>
          <w:p w14:paraId="229DC103" w14:textId="77777777" w:rsidR="00157F9F" w:rsidRDefault="00157F9F" w:rsidP="00157F9F">
            <w:pPr>
              <w:rPr>
                <w:sz w:val="20"/>
                <w:szCs w:val="20"/>
              </w:rPr>
            </w:pPr>
          </w:p>
          <w:p w14:paraId="223BEF32" w14:textId="19026609" w:rsidR="00157F9F" w:rsidRPr="00157F9F" w:rsidRDefault="00157F9F" w:rsidP="00157F9F">
            <w:r>
              <w:rPr>
                <w:sz w:val="20"/>
                <w:szCs w:val="20"/>
              </w:rPr>
              <w:t>T&amp;C Directives</w:t>
            </w:r>
          </w:p>
        </w:tc>
        <w:tc>
          <w:tcPr>
            <w:tcW w:w="1648" w:type="dxa"/>
          </w:tcPr>
          <w:p w14:paraId="79E82EF6" w14:textId="77777777" w:rsidR="00157F9F" w:rsidRDefault="00157F9F" w:rsidP="00157F9F">
            <w:pPr>
              <w:rPr>
                <w:sz w:val="20"/>
                <w:szCs w:val="20"/>
              </w:rPr>
            </w:pPr>
            <w:r>
              <w:rPr>
                <w:sz w:val="20"/>
                <w:szCs w:val="20"/>
              </w:rPr>
              <w:t>e.g. ISO15189,</w:t>
            </w:r>
          </w:p>
          <w:p w14:paraId="5B5E9A76" w14:textId="77777777" w:rsidR="00157F9F" w:rsidRDefault="00157F9F" w:rsidP="00157F9F">
            <w:pPr>
              <w:rPr>
                <w:sz w:val="20"/>
                <w:szCs w:val="20"/>
              </w:rPr>
            </w:pPr>
            <w:r>
              <w:rPr>
                <w:sz w:val="20"/>
                <w:szCs w:val="20"/>
              </w:rPr>
              <w:t>ISO17025,</w:t>
            </w:r>
          </w:p>
          <w:p w14:paraId="705423A8" w14:textId="57588DE3" w:rsidR="00157F9F" w:rsidRPr="000E0EC1" w:rsidRDefault="00157F9F" w:rsidP="00157F9F">
            <w:r>
              <w:rPr>
                <w:sz w:val="20"/>
                <w:szCs w:val="20"/>
              </w:rPr>
              <w:t xml:space="preserve">national standards </w:t>
            </w:r>
          </w:p>
        </w:tc>
        <w:tc>
          <w:tcPr>
            <w:tcW w:w="1417" w:type="dxa"/>
          </w:tcPr>
          <w:p w14:paraId="66E8E3B5" w14:textId="77777777" w:rsidR="00157F9F" w:rsidRPr="000E0EC1" w:rsidRDefault="00157F9F" w:rsidP="00157F9F"/>
        </w:tc>
        <w:tc>
          <w:tcPr>
            <w:tcW w:w="1056" w:type="dxa"/>
          </w:tcPr>
          <w:p w14:paraId="0F748461" w14:textId="77777777" w:rsidR="00157F9F" w:rsidRDefault="00157F9F" w:rsidP="00157F9F">
            <w:pPr>
              <w:rPr>
                <w:sz w:val="24"/>
                <w:szCs w:val="24"/>
              </w:rPr>
            </w:pPr>
          </w:p>
        </w:tc>
      </w:tr>
      <w:tr w:rsidR="00157F9F" w14:paraId="04F4CB6A" w14:textId="77777777" w:rsidTr="00157F9F">
        <w:trPr>
          <w:gridAfter w:val="1"/>
          <w:wAfter w:w="6" w:type="dxa"/>
          <w:trHeight w:val="313"/>
        </w:trPr>
        <w:tc>
          <w:tcPr>
            <w:tcW w:w="1456" w:type="dxa"/>
            <w:vMerge/>
            <w:shd w:val="clear" w:color="auto" w:fill="F2F2F2" w:themeFill="background1" w:themeFillShade="F2"/>
          </w:tcPr>
          <w:p w14:paraId="16AAE653" w14:textId="77777777" w:rsidR="00157F9F" w:rsidRPr="000E0EC1" w:rsidRDefault="00157F9F" w:rsidP="00157F9F"/>
        </w:tc>
        <w:tc>
          <w:tcPr>
            <w:tcW w:w="1242" w:type="dxa"/>
            <w:vMerge/>
            <w:shd w:val="clear" w:color="auto" w:fill="auto"/>
          </w:tcPr>
          <w:p w14:paraId="3552AA10" w14:textId="77777777" w:rsidR="00157F9F" w:rsidRPr="00EA4240" w:rsidRDefault="00157F9F" w:rsidP="00157F9F">
            <w:pPr>
              <w:rPr>
                <w:sz w:val="20"/>
                <w:szCs w:val="20"/>
              </w:rPr>
            </w:pPr>
          </w:p>
        </w:tc>
        <w:tc>
          <w:tcPr>
            <w:tcW w:w="2527" w:type="dxa"/>
            <w:shd w:val="clear" w:color="auto" w:fill="F2F2F2" w:themeFill="background1" w:themeFillShade="F2"/>
          </w:tcPr>
          <w:p w14:paraId="3F52EC39" w14:textId="7D543524" w:rsidR="00157F9F" w:rsidRPr="000E0EC1" w:rsidRDefault="00157F9F" w:rsidP="00157F9F">
            <w:r>
              <w:rPr>
                <w:sz w:val="20"/>
                <w:szCs w:val="20"/>
              </w:rPr>
              <w:t>Name of the authority that has accredited, designated, authorised or licensed the laboratory</w:t>
            </w:r>
          </w:p>
        </w:tc>
        <w:tc>
          <w:tcPr>
            <w:tcW w:w="1687" w:type="dxa"/>
            <w:shd w:val="clear" w:color="auto" w:fill="auto"/>
          </w:tcPr>
          <w:p w14:paraId="6B3D1A53" w14:textId="18ABB956" w:rsidR="00157F9F" w:rsidRPr="00157F9F" w:rsidRDefault="00157F9F" w:rsidP="00157F9F">
            <w:r>
              <w:rPr>
                <w:sz w:val="20"/>
                <w:szCs w:val="20"/>
              </w:rPr>
              <w:t>Name of the authority</w:t>
            </w:r>
          </w:p>
        </w:tc>
        <w:tc>
          <w:tcPr>
            <w:tcW w:w="1648" w:type="dxa"/>
          </w:tcPr>
          <w:p w14:paraId="6ABB99F8" w14:textId="77777777" w:rsidR="00157F9F" w:rsidRDefault="00157F9F" w:rsidP="00157F9F">
            <w:pPr>
              <w:rPr>
                <w:sz w:val="20"/>
                <w:szCs w:val="20"/>
              </w:rPr>
            </w:pPr>
            <w:r>
              <w:rPr>
                <w:sz w:val="20"/>
                <w:szCs w:val="20"/>
              </w:rPr>
              <w:t>e.g. Name of the external accreditation body (if applicable)</w:t>
            </w:r>
          </w:p>
          <w:p w14:paraId="2227D744" w14:textId="77777777" w:rsidR="00157F9F" w:rsidRPr="000E0EC1" w:rsidRDefault="00157F9F" w:rsidP="00157F9F"/>
        </w:tc>
        <w:tc>
          <w:tcPr>
            <w:tcW w:w="1417" w:type="dxa"/>
          </w:tcPr>
          <w:p w14:paraId="6D7A21F1" w14:textId="77777777" w:rsidR="00157F9F" w:rsidRPr="000E0EC1" w:rsidRDefault="00157F9F" w:rsidP="00157F9F"/>
        </w:tc>
        <w:tc>
          <w:tcPr>
            <w:tcW w:w="1056" w:type="dxa"/>
          </w:tcPr>
          <w:p w14:paraId="01751D61" w14:textId="77777777" w:rsidR="00157F9F" w:rsidRDefault="00157F9F" w:rsidP="00157F9F">
            <w:pPr>
              <w:rPr>
                <w:sz w:val="24"/>
                <w:szCs w:val="24"/>
              </w:rPr>
            </w:pPr>
          </w:p>
        </w:tc>
      </w:tr>
      <w:tr w:rsidR="00157F9F" w14:paraId="07AD0F9E" w14:textId="77777777" w:rsidTr="00157F9F">
        <w:trPr>
          <w:gridAfter w:val="1"/>
          <w:wAfter w:w="6" w:type="dxa"/>
          <w:trHeight w:val="151"/>
        </w:trPr>
        <w:tc>
          <w:tcPr>
            <w:tcW w:w="1456" w:type="dxa"/>
            <w:vMerge w:val="restart"/>
            <w:shd w:val="clear" w:color="auto" w:fill="F2F2F2" w:themeFill="background1" w:themeFillShade="F2"/>
          </w:tcPr>
          <w:p w14:paraId="223FEAAA" w14:textId="77777777" w:rsidR="00157F9F" w:rsidRPr="00B54DC6" w:rsidRDefault="00157F9F" w:rsidP="00157F9F">
            <w:pPr>
              <w:rPr>
                <w:sz w:val="20"/>
                <w:szCs w:val="20"/>
              </w:rPr>
            </w:pPr>
            <w:r>
              <w:rPr>
                <w:sz w:val="20"/>
                <w:szCs w:val="20"/>
              </w:rPr>
              <w:t>BTC g</w:t>
            </w:r>
            <w:r w:rsidRPr="00B54DC6">
              <w:rPr>
                <w:sz w:val="20"/>
                <w:szCs w:val="20"/>
              </w:rPr>
              <w:t>raft</w:t>
            </w:r>
          </w:p>
          <w:p w14:paraId="091A3861" w14:textId="77777777" w:rsidR="00157F9F" w:rsidRPr="00B54DC6" w:rsidRDefault="00157F9F" w:rsidP="00157F9F">
            <w:pPr>
              <w:rPr>
                <w:sz w:val="20"/>
                <w:szCs w:val="20"/>
              </w:rPr>
            </w:pPr>
            <w:r>
              <w:rPr>
                <w:sz w:val="20"/>
                <w:szCs w:val="20"/>
              </w:rPr>
              <w:t>microbiological</w:t>
            </w:r>
            <w:r w:rsidRPr="00B54DC6">
              <w:rPr>
                <w:sz w:val="20"/>
                <w:szCs w:val="20"/>
              </w:rPr>
              <w:t xml:space="preserve"> testing</w:t>
            </w:r>
            <w:r>
              <w:rPr>
                <w:sz w:val="20"/>
                <w:szCs w:val="20"/>
              </w:rPr>
              <w:t xml:space="preserve"> laboratory</w:t>
            </w:r>
          </w:p>
          <w:p w14:paraId="03832223" w14:textId="77777777" w:rsidR="00157F9F" w:rsidRPr="000E0EC1" w:rsidRDefault="00157F9F" w:rsidP="00157F9F"/>
        </w:tc>
        <w:tc>
          <w:tcPr>
            <w:tcW w:w="1242" w:type="dxa"/>
            <w:shd w:val="clear" w:color="auto" w:fill="F2F2F2" w:themeFill="background1" w:themeFillShade="F2"/>
          </w:tcPr>
          <w:p w14:paraId="21665F5B" w14:textId="7E06B7A4" w:rsidR="00157F9F" w:rsidRPr="000E0EC1" w:rsidRDefault="00157F9F" w:rsidP="00157F9F">
            <w:r>
              <w:rPr>
                <w:sz w:val="20"/>
                <w:szCs w:val="20"/>
              </w:rPr>
              <w:t>Laboratory</w:t>
            </w:r>
          </w:p>
        </w:tc>
        <w:tc>
          <w:tcPr>
            <w:tcW w:w="2527" w:type="dxa"/>
            <w:shd w:val="clear" w:color="auto" w:fill="F2F2F2" w:themeFill="background1" w:themeFillShade="F2"/>
          </w:tcPr>
          <w:p w14:paraId="03399274" w14:textId="7CD84EE7" w:rsidR="00157F9F" w:rsidRPr="000E0EC1" w:rsidRDefault="00157F9F" w:rsidP="00157F9F">
            <w:r>
              <w:rPr>
                <w:sz w:val="20"/>
                <w:szCs w:val="20"/>
              </w:rPr>
              <w:t>Quality system(s) of the laboratory</w:t>
            </w:r>
          </w:p>
        </w:tc>
        <w:tc>
          <w:tcPr>
            <w:tcW w:w="1687" w:type="dxa"/>
            <w:shd w:val="clear" w:color="auto" w:fill="auto"/>
          </w:tcPr>
          <w:p w14:paraId="6F64E419" w14:textId="7FAAD7B0" w:rsidR="00157F9F" w:rsidRPr="00157F9F" w:rsidRDefault="00157F9F" w:rsidP="00157F9F">
            <w:r>
              <w:rPr>
                <w:sz w:val="20"/>
                <w:szCs w:val="20"/>
              </w:rPr>
              <w:t>2004/23/EC</w:t>
            </w:r>
          </w:p>
        </w:tc>
        <w:tc>
          <w:tcPr>
            <w:tcW w:w="1648" w:type="dxa"/>
          </w:tcPr>
          <w:p w14:paraId="0C8F7C36" w14:textId="77777777" w:rsidR="00157F9F" w:rsidRPr="000E0EC1" w:rsidRDefault="00157F9F" w:rsidP="00157F9F"/>
        </w:tc>
        <w:tc>
          <w:tcPr>
            <w:tcW w:w="1417" w:type="dxa"/>
          </w:tcPr>
          <w:p w14:paraId="779CD118" w14:textId="77777777" w:rsidR="00157F9F" w:rsidRPr="000E0EC1" w:rsidRDefault="00157F9F" w:rsidP="00157F9F"/>
        </w:tc>
        <w:tc>
          <w:tcPr>
            <w:tcW w:w="1056" w:type="dxa"/>
          </w:tcPr>
          <w:p w14:paraId="560E8FBC" w14:textId="77777777" w:rsidR="00157F9F" w:rsidRDefault="00157F9F" w:rsidP="00157F9F">
            <w:pPr>
              <w:rPr>
                <w:sz w:val="24"/>
                <w:szCs w:val="24"/>
              </w:rPr>
            </w:pPr>
          </w:p>
        </w:tc>
      </w:tr>
      <w:tr w:rsidR="00157F9F" w14:paraId="0E536EDD" w14:textId="77777777" w:rsidTr="00157F9F">
        <w:trPr>
          <w:gridAfter w:val="1"/>
          <w:wAfter w:w="6" w:type="dxa"/>
          <w:trHeight w:val="434"/>
        </w:trPr>
        <w:tc>
          <w:tcPr>
            <w:tcW w:w="1456" w:type="dxa"/>
            <w:vMerge/>
            <w:shd w:val="clear" w:color="auto" w:fill="F2F2F2" w:themeFill="background1" w:themeFillShade="F2"/>
          </w:tcPr>
          <w:p w14:paraId="57D31CD5" w14:textId="77777777" w:rsidR="00157F9F" w:rsidRPr="000E0EC1" w:rsidRDefault="00157F9F" w:rsidP="00157F9F"/>
        </w:tc>
        <w:tc>
          <w:tcPr>
            <w:tcW w:w="1242" w:type="dxa"/>
            <w:vMerge w:val="restart"/>
            <w:shd w:val="clear" w:color="auto" w:fill="auto"/>
          </w:tcPr>
          <w:p w14:paraId="5905E933" w14:textId="294EDA34" w:rsidR="00157F9F" w:rsidRPr="000E0EC1" w:rsidRDefault="00157F9F" w:rsidP="00157F9F">
            <w:r w:rsidRPr="00EA4240">
              <w:rPr>
                <w:sz w:val="20"/>
                <w:szCs w:val="20"/>
              </w:rPr>
              <w:t>Name of the laboratory</w:t>
            </w:r>
          </w:p>
        </w:tc>
        <w:tc>
          <w:tcPr>
            <w:tcW w:w="2527" w:type="dxa"/>
            <w:shd w:val="clear" w:color="auto" w:fill="F2F2F2" w:themeFill="background1" w:themeFillShade="F2"/>
          </w:tcPr>
          <w:p w14:paraId="6DFD5421" w14:textId="77777777" w:rsidR="00157F9F" w:rsidRDefault="00157F9F" w:rsidP="00157F9F">
            <w:pPr>
              <w:rPr>
                <w:sz w:val="20"/>
                <w:szCs w:val="20"/>
              </w:rPr>
            </w:pPr>
            <w:r>
              <w:rPr>
                <w:sz w:val="20"/>
                <w:szCs w:val="20"/>
              </w:rPr>
              <w:t>Standard that laboratory follows</w:t>
            </w:r>
          </w:p>
          <w:p w14:paraId="594930C9" w14:textId="77777777" w:rsidR="00157F9F" w:rsidRPr="000E0EC1" w:rsidRDefault="00157F9F" w:rsidP="00157F9F"/>
        </w:tc>
        <w:tc>
          <w:tcPr>
            <w:tcW w:w="1687" w:type="dxa"/>
            <w:shd w:val="clear" w:color="auto" w:fill="auto"/>
          </w:tcPr>
          <w:p w14:paraId="52D030DA" w14:textId="2EAAEE92" w:rsidR="00157F9F" w:rsidRPr="00157F9F" w:rsidRDefault="00157F9F" w:rsidP="00157F9F">
            <w:r>
              <w:rPr>
                <w:sz w:val="20"/>
                <w:szCs w:val="20"/>
              </w:rPr>
              <w:t>T&amp;C Directives</w:t>
            </w:r>
          </w:p>
        </w:tc>
        <w:tc>
          <w:tcPr>
            <w:tcW w:w="1648" w:type="dxa"/>
          </w:tcPr>
          <w:p w14:paraId="7A2DC38F" w14:textId="77777777" w:rsidR="00157F9F" w:rsidRDefault="00157F9F" w:rsidP="00157F9F">
            <w:pPr>
              <w:rPr>
                <w:sz w:val="20"/>
                <w:szCs w:val="20"/>
              </w:rPr>
            </w:pPr>
            <w:r>
              <w:rPr>
                <w:sz w:val="20"/>
                <w:szCs w:val="20"/>
              </w:rPr>
              <w:t xml:space="preserve">e.g. </w:t>
            </w:r>
          </w:p>
          <w:p w14:paraId="48B44959" w14:textId="77777777" w:rsidR="00157F9F" w:rsidRDefault="00157F9F" w:rsidP="00157F9F">
            <w:pPr>
              <w:rPr>
                <w:sz w:val="20"/>
                <w:szCs w:val="20"/>
              </w:rPr>
            </w:pPr>
            <w:r>
              <w:rPr>
                <w:sz w:val="20"/>
                <w:szCs w:val="20"/>
              </w:rPr>
              <w:t>Good Practice Guideline/EDQM, ISO15189,</w:t>
            </w:r>
          </w:p>
          <w:p w14:paraId="17EF078B" w14:textId="476EB3AC" w:rsidR="00157F9F" w:rsidRPr="000E0EC1" w:rsidRDefault="00157F9F" w:rsidP="00157F9F">
            <w:r>
              <w:rPr>
                <w:sz w:val="20"/>
                <w:szCs w:val="20"/>
              </w:rPr>
              <w:t>ISO17025</w:t>
            </w:r>
          </w:p>
        </w:tc>
        <w:tc>
          <w:tcPr>
            <w:tcW w:w="1417" w:type="dxa"/>
          </w:tcPr>
          <w:p w14:paraId="48012BFF" w14:textId="77777777" w:rsidR="00157F9F" w:rsidRPr="000E0EC1" w:rsidRDefault="00157F9F" w:rsidP="00157F9F"/>
        </w:tc>
        <w:tc>
          <w:tcPr>
            <w:tcW w:w="1056" w:type="dxa"/>
          </w:tcPr>
          <w:p w14:paraId="7001C0EE" w14:textId="77777777" w:rsidR="00157F9F" w:rsidRDefault="00157F9F" w:rsidP="00157F9F">
            <w:pPr>
              <w:rPr>
                <w:sz w:val="24"/>
                <w:szCs w:val="24"/>
              </w:rPr>
            </w:pPr>
          </w:p>
        </w:tc>
      </w:tr>
      <w:tr w:rsidR="00157F9F" w14:paraId="0D4BCC13" w14:textId="77777777" w:rsidTr="00157F9F">
        <w:trPr>
          <w:gridAfter w:val="1"/>
          <w:wAfter w:w="6" w:type="dxa"/>
          <w:trHeight w:val="433"/>
        </w:trPr>
        <w:tc>
          <w:tcPr>
            <w:tcW w:w="1456" w:type="dxa"/>
            <w:vMerge/>
            <w:shd w:val="clear" w:color="auto" w:fill="F2F2F2" w:themeFill="background1" w:themeFillShade="F2"/>
          </w:tcPr>
          <w:p w14:paraId="4EB0E148" w14:textId="77777777" w:rsidR="00157F9F" w:rsidRPr="000E0EC1" w:rsidRDefault="00157F9F" w:rsidP="00157F9F"/>
        </w:tc>
        <w:tc>
          <w:tcPr>
            <w:tcW w:w="1242" w:type="dxa"/>
            <w:vMerge/>
            <w:shd w:val="clear" w:color="auto" w:fill="auto"/>
          </w:tcPr>
          <w:p w14:paraId="72BF62B7" w14:textId="77777777" w:rsidR="00157F9F" w:rsidRPr="00EA4240" w:rsidRDefault="00157F9F" w:rsidP="00157F9F">
            <w:pPr>
              <w:rPr>
                <w:sz w:val="20"/>
                <w:szCs w:val="20"/>
              </w:rPr>
            </w:pPr>
          </w:p>
        </w:tc>
        <w:tc>
          <w:tcPr>
            <w:tcW w:w="2527" w:type="dxa"/>
            <w:shd w:val="clear" w:color="auto" w:fill="F2F2F2" w:themeFill="background1" w:themeFillShade="F2"/>
          </w:tcPr>
          <w:p w14:paraId="333B0556" w14:textId="1E96B408" w:rsidR="00157F9F" w:rsidRDefault="00157F9F" w:rsidP="00157F9F">
            <w:pPr>
              <w:rPr>
                <w:sz w:val="20"/>
                <w:szCs w:val="20"/>
              </w:rPr>
            </w:pPr>
            <w:r>
              <w:rPr>
                <w:sz w:val="20"/>
                <w:szCs w:val="20"/>
              </w:rPr>
              <w:t>Name of the authority that has accredited, designated, authorised or licensed the laboratory</w:t>
            </w:r>
          </w:p>
        </w:tc>
        <w:tc>
          <w:tcPr>
            <w:tcW w:w="1687" w:type="dxa"/>
            <w:shd w:val="clear" w:color="auto" w:fill="auto"/>
          </w:tcPr>
          <w:p w14:paraId="7A487BA5" w14:textId="61309658" w:rsidR="00157F9F" w:rsidRPr="000E0EC1" w:rsidRDefault="00157F9F" w:rsidP="00157F9F">
            <w:r>
              <w:rPr>
                <w:sz w:val="20"/>
                <w:szCs w:val="20"/>
              </w:rPr>
              <w:t>Name of the authority</w:t>
            </w:r>
          </w:p>
        </w:tc>
        <w:tc>
          <w:tcPr>
            <w:tcW w:w="1648" w:type="dxa"/>
          </w:tcPr>
          <w:p w14:paraId="08E57F9D" w14:textId="77777777" w:rsidR="00157F9F" w:rsidRDefault="00157F9F" w:rsidP="00157F9F">
            <w:pPr>
              <w:rPr>
                <w:sz w:val="20"/>
                <w:szCs w:val="20"/>
              </w:rPr>
            </w:pPr>
            <w:r>
              <w:rPr>
                <w:sz w:val="20"/>
                <w:szCs w:val="20"/>
              </w:rPr>
              <w:t>e.g. Name of the external accreditation body (if applicable)</w:t>
            </w:r>
          </w:p>
          <w:p w14:paraId="49BC6D1D" w14:textId="77777777" w:rsidR="00157F9F" w:rsidRPr="000E0EC1" w:rsidRDefault="00157F9F" w:rsidP="00157F9F"/>
        </w:tc>
        <w:tc>
          <w:tcPr>
            <w:tcW w:w="1417" w:type="dxa"/>
          </w:tcPr>
          <w:p w14:paraId="5CB2DB42" w14:textId="77777777" w:rsidR="00157F9F" w:rsidRPr="000E0EC1" w:rsidRDefault="00157F9F" w:rsidP="00157F9F"/>
        </w:tc>
        <w:tc>
          <w:tcPr>
            <w:tcW w:w="1056" w:type="dxa"/>
          </w:tcPr>
          <w:p w14:paraId="54925821" w14:textId="77777777" w:rsidR="00157F9F" w:rsidRDefault="00157F9F" w:rsidP="00157F9F">
            <w:pPr>
              <w:rPr>
                <w:sz w:val="24"/>
                <w:szCs w:val="24"/>
              </w:rPr>
            </w:pPr>
          </w:p>
        </w:tc>
      </w:tr>
      <w:tr w:rsidR="00157F9F" w14:paraId="219CD247" w14:textId="77777777" w:rsidTr="00157F9F">
        <w:trPr>
          <w:gridAfter w:val="1"/>
          <w:wAfter w:w="6" w:type="dxa"/>
        </w:trPr>
        <w:tc>
          <w:tcPr>
            <w:tcW w:w="2698" w:type="dxa"/>
            <w:gridSpan w:val="2"/>
            <w:shd w:val="clear" w:color="auto" w:fill="F2F2F2" w:themeFill="background1" w:themeFillShade="F2"/>
          </w:tcPr>
          <w:p w14:paraId="6FDDD9D3" w14:textId="77777777" w:rsidR="00157F9F" w:rsidRPr="000E0EC1" w:rsidRDefault="00157F9F" w:rsidP="00157F9F">
            <w:r w:rsidRPr="000E0EC1">
              <w:t>Donor testing</w:t>
            </w:r>
          </w:p>
          <w:p w14:paraId="4C1798BA" w14:textId="77777777" w:rsidR="00157F9F" w:rsidRPr="000E0EC1" w:rsidRDefault="00157F9F" w:rsidP="00157F9F"/>
        </w:tc>
        <w:tc>
          <w:tcPr>
            <w:tcW w:w="4214" w:type="dxa"/>
            <w:gridSpan w:val="2"/>
            <w:shd w:val="clear" w:color="auto" w:fill="F2F2F2" w:themeFill="background1" w:themeFillShade="F2"/>
          </w:tcPr>
          <w:p w14:paraId="404B0783" w14:textId="77777777" w:rsidR="00157F9F" w:rsidRPr="000E0EC1" w:rsidRDefault="00157F9F" w:rsidP="00157F9F"/>
          <w:p w14:paraId="196C14AB" w14:textId="77777777" w:rsidR="00157F9F" w:rsidRPr="000E0EC1" w:rsidRDefault="00157F9F" w:rsidP="00157F9F"/>
        </w:tc>
        <w:tc>
          <w:tcPr>
            <w:tcW w:w="1648" w:type="dxa"/>
          </w:tcPr>
          <w:p w14:paraId="343C14D6" w14:textId="77777777" w:rsidR="00157F9F" w:rsidRPr="000E0EC1" w:rsidRDefault="00157F9F" w:rsidP="00157F9F"/>
        </w:tc>
        <w:tc>
          <w:tcPr>
            <w:tcW w:w="1417" w:type="dxa"/>
          </w:tcPr>
          <w:p w14:paraId="6261A30F" w14:textId="73B9A6AC" w:rsidR="00157F9F" w:rsidRPr="000E0EC1" w:rsidRDefault="00157F9F" w:rsidP="00157F9F"/>
        </w:tc>
        <w:tc>
          <w:tcPr>
            <w:tcW w:w="1056" w:type="dxa"/>
          </w:tcPr>
          <w:p w14:paraId="56B96677" w14:textId="77777777" w:rsidR="00157F9F" w:rsidRDefault="00157F9F" w:rsidP="00157F9F">
            <w:pPr>
              <w:rPr>
                <w:sz w:val="24"/>
                <w:szCs w:val="24"/>
              </w:rPr>
            </w:pPr>
          </w:p>
        </w:tc>
      </w:tr>
      <w:tr w:rsidR="00157F9F" w14:paraId="5F78671E" w14:textId="77777777" w:rsidTr="00157F9F">
        <w:trPr>
          <w:gridAfter w:val="1"/>
          <w:wAfter w:w="6" w:type="dxa"/>
        </w:trPr>
        <w:tc>
          <w:tcPr>
            <w:tcW w:w="2698" w:type="dxa"/>
            <w:gridSpan w:val="2"/>
            <w:shd w:val="clear" w:color="auto" w:fill="F2F2F2" w:themeFill="background1" w:themeFillShade="F2"/>
          </w:tcPr>
          <w:p w14:paraId="183BA89D" w14:textId="77777777" w:rsidR="00157F9F" w:rsidRPr="000E0EC1" w:rsidRDefault="00157F9F" w:rsidP="00157F9F">
            <w:r w:rsidRPr="000E0EC1">
              <w:t>Pathogen reduction</w:t>
            </w:r>
          </w:p>
          <w:p w14:paraId="43C05910" w14:textId="77777777" w:rsidR="00157F9F" w:rsidRPr="000E0EC1" w:rsidRDefault="00157F9F" w:rsidP="00157F9F"/>
        </w:tc>
        <w:tc>
          <w:tcPr>
            <w:tcW w:w="4214" w:type="dxa"/>
            <w:gridSpan w:val="2"/>
            <w:shd w:val="clear" w:color="auto" w:fill="F2F2F2" w:themeFill="background1" w:themeFillShade="F2"/>
          </w:tcPr>
          <w:p w14:paraId="4525A656" w14:textId="77777777" w:rsidR="00157F9F" w:rsidRPr="000E0EC1" w:rsidRDefault="00157F9F" w:rsidP="00157F9F"/>
          <w:p w14:paraId="506AFDD1" w14:textId="77777777" w:rsidR="00157F9F" w:rsidRPr="000E0EC1" w:rsidRDefault="00157F9F" w:rsidP="00157F9F"/>
        </w:tc>
        <w:tc>
          <w:tcPr>
            <w:tcW w:w="1648" w:type="dxa"/>
          </w:tcPr>
          <w:p w14:paraId="70266EB6" w14:textId="77777777" w:rsidR="00157F9F" w:rsidRPr="000E0EC1" w:rsidRDefault="00157F9F" w:rsidP="00157F9F"/>
        </w:tc>
        <w:tc>
          <w:tcPr>
            <w:tcW w:w="1417" w:type="dxa"/>
          </w:tcPr>
          <w:p w14:paraId="33982D31" w14:textId="7FF8356C" w:rsidR="00157F9F" w:rsidRPr="000E0EC1" w:rsidRDefault="00157F9F" w:rsidP="00157F9F"/>
        </w:tc>
        <w:tc>
          <w:tcPr>
            <w:tcW w:w="1056" w:type="dxa"/>
          </w:tcPr>
          <w:p w14:paraId="700A8AB6" w14:textId="77777777" w:rsidR="00157F9F" w:rsidRDefault="00157F9F" w:rsidP="00157F9F">
            <w:pPr>
              <w:rPr>
                <w:sz w:val="24"/>
                <w:szCs w:val="24"/>
              </w:rPr>
            </w:pPr>
          </w:p>
        </w:tc>
      </w:tr>
      <w:tr w:rsidR="00157F9F" w:rsidRPr="00DA637C" w14:paraId="55EC7583" w14:textId="77777777" w:rsidTr="00157F9F">
        <w:trPr>
          <w:gridAfter w:val="1"/>
          <w:wAfter w:w="6" w:type="dxa"/>
        </w:trPr>
        <w:tc>
          <w:tcPr>
            <w:tcW w:w="2698" w:type="dxa"/>
            <w:gridSpan w:val="2"/>
            <w:shd w:val="clear" w:color="auto" w:fill="F2F2F2" w:themeFill="background1" w:themeFillShade="F2"/>
          </w:tcPr>
          <w:p w14:paraId="2918E59B" w14:textId="77777777" w:rsidR="00157F9F" w:rsidRPr="000E0EC1" w:rsidRDefault="00157F9F" w:rsidP="00157F9F">
            <w:r w:rsidRPr="000E0EC1">
              <w:t>Sterilisation</w:t>
            </w:r>
          </w:p>
          <w:p w14:paraId="3B2D40E1" w14:textId="77777777" w:rsidR="00157F9F" w:rsidRPr="000E0EC1" w:rsidRDefault="00157F9F" w:rsidP="00157F9F"/>
          <w:p w14:paraId="521EBBD9" w14:textId="77777777" w:rsidR="00157F9F" w:rsidRPr="000E0EC1" w:rsidRDefault="00157F9F" w:rsidP="00157F9F"/>
          <w:p w14:paraId="001951F2" w14:textId="77777777" w:rsidR="00157F9F" w:rsidRPr="000E0EC1" w:rsidRDefault="00157F9F" w:rsidP="00157F9F"/>
        </w:tc>
        <w:tc>
          <w:tcPr>
            <w:tcW w:w="4214" w:type="dxa"/>
            <w:gridSpan w:val="2"/>
            <w:shd w:val="clear" w:color="auto" w:fill="F2F2F2" w:themeFill="background1" w:themeFillShade="F2"/>
          </w:tcPr>
          <w:p w14:paraId="666969C8" w14:textId="77777777" w:rsidR="00157F9F" w:rsidRPr="000E0EC1" w:rsidRDefault="00157F9F" w:rsidP="00157F9F">
            <w:r w:rsidRPr="000E0EC1">
              <w:t>Bioburden (Ph.Eur. method, matrix validation)</w:t>
            </w:r>
          </w:p>
          <w:p w14:paraId="750C18B0" w14:textId="77777777" w:rsidR="00157F9F" w:rsidRPr="000E0EC1" w:rsidRDefault="00157F9F" w:rsidP="00157F9F">
            <w:r w:rsidRPr="000E0EC1">
              <w:t>Sterilisation process (Ph. Eur. method, validation, SAL)</w:t>
            </w:r>
          </w:p>
          <w:p w14:paraId="6C1C0927" w14:textId="77777777" w:rsidR="00157F9F" w:rsidRPr="000E0EC1" w:rsidRDefault="00157F9F" w:rsidP="00157F9F">
            <w:r w:rsidRPr="000E0EC1">
              <w:t xml:space="preserve"> </w:t>
            </w:r>
          </w:p>
        </w:tc>
        <w:tc>
          <w:tcPr>
            <w:tcW w:w="1648" w:type="dxa"/>
          </w:tcPr>
          <w:p w14:paraId="70420166" w14:textId="77777777" w:rsidR="00157F9F" w:rsidRPr="000E0EC1" w:rsidRDefault="00157F9F" w:rsidP="00157F9F"/>
        </w:tc>
        <w:tc>
          <w:tcPr>
            <w:tcW w:w="1417" w:type="dxa"/>
          </w:tcPr>
          <w:p w14:paraId="0A9808B2" w14:textId="0D722D56" w:rsidR="00157F9F" w:rsidRPr="000E0EC1" w:rsidRDefault="00157F9F" w:rsidP="00157F9F"/>
        </w:tc>
        <w:tc>
          <w:tcPr>
            <w:tcW w:w="1056" w:type="dxa"/>
          </w:tcPr>
          <w:p w14:paraId="05923AF5" w14:textId="77777777" w:rsidR="00157F9F" w:rsidRPr="00DA637C" w:rsidRDefault="00157F9F" w:rsidP="00157F9F">
            <w:pPr>
              <w:rPr>
                <w:sz w:val="24"/>
                <w:szCs w:val="24"/>
              </w:rPr>
            </w:pPr>
          </w:p>
        </w:tc>
      </w:tr>
      <w:tr w:rsidR="00157F9F" w:rsidRPr="0005463E" w14:paraId="701000DA" w14:textId="77777777" w:rsidTr="00157F9F">
        <w:trPr>
          <w:gridAfter w:val="1"/>
          <w:wAfter w:w="6" w:type="dxa"/>
        </w:trPr>
        <w:tc>
          <w:tcPr>
            <w:tcW w:w="2698" w:type="dxa"/>
            <w:gridSpan w:val="2"/>
            <w:shd w:val="clear" w:color="auto" w:fill="F2F2F2" w:themeFill="background1" w:themeFillShade="F2"/>
          </w:tcPr>
          <w:p w14:paraId="6B64F861" w14:textId="77777777" w:rsidR="00157F9F" w:rsidRPr="000E0EC1" w:rsidRDefault="00157F9F" w:rsidP="00157F9F">
            <w:r w:rsidRPr="000E0EC1">
              <w:lastRenderedPageBreak/>
              <w:t>Microbiol. quality of final product</w:t>
            </w:r>
          </w:p>
          <w:p w14:paraId="1B99A09E" w14:textId="77777777" w:rsidR="00157F9F" w:rsidRPr="000E0EC1" w:rsidRDefault="00157F9F" w:rsidP="00157F9F"/>
        </w:tc>
        <w:tc>
          <w:tcPr>
            <w:tcW w:w="4214" w:type="dxa"/>
            <w:gridSpan w:val="2"/>
            <w:shd w:val="clear" w:color="auto" w:fill="F2F2F2" w:themeFill="background1" w:themeFillShade="F2"/>
          </w:tcPr>
          <w:p w14:paraId="6FB39F25" w14:textId="77777777" w:rsidR="00157F9F" w:rsidRPr="000E0EC1" w:rsidRDefault="00157F9F" w:rsidP="00157F9F">
            <w:r w:rsidRPr="000E0EC1">
              <w:t>Compliance with TC Guide Part A: 8.8, 10</w:t>
            </w:r>
          </w:p>
          <w:p w14:paraId="58ED2ECC" w14:textId="77777777" w:rsidR="00157F9F" w:rsidRPr="000E0EC1" w:rsidRDefault="00157F9F" w:rsidP="00157F9F">
            <w:r w:rsidRPr="000E0EC1">
              <w:t>Compliance with TC Guide Part B: specified tissue section</w:t>
            </w:r>
          </w:p>
          <w:p w14:paraId="1E2938BB" w14:textId="77777777" w:rsidR="00157F9F" w:rsidRPr="000E0EC1" w:rsidRDefault="00157F9F" w:rsidP="00157F9F"/>
          <w:p w14:paraId="2E7211A3" w14:textId="77777777" w:rsidR="00157F9F" w:rsidRPr="000E0EC1" w:rsidRDefault="00157F9F" w:rsidP="00157F9F">
            <w:r w:rsidRPr="000E0EC1">
              <w:t>Sterility test (Ph.Eur. method, matrix validation)</w:t>
            </w:r>
          </w:p>
          <w:p w14:paraId="691B5A6D" w14:textId="77777777" w:rsidR="00157F9F" w:rsidRPr="000E0EC1" w:rsidRDefault="00157F9F" w:rsidP="00157F9F">
            <w:r w:rsidRPr="000E0EC1">
              <w:t>AMM (compliance with Ph. Eur. 5.1.6)</w:t>
            </w:r>
          </w:p>
          <w:p w14:paraId="5968FAFC" w14:textId="77777777" w:rsidR="00157F9F" w:rsidRPr="000E0EC1" w:rsidRDefault="00157F9F" w:rsidP="00157F9F"/>
        </w:tc>
        <w:tc>
          <w:tcPr>
            <w:tcW w:w="1648" w:type="dxa"/>
          </w:tcPr>
          <w:p w14:paraId="42C63AB0" w14:textId="77777777" w:rsidR="00157F9F" w:rsidRPr="000E0EC1" w:rsidRDefault="00157F9F" w:rsidP="00157F9F"/>
        </w:tc>
        <w:tc>
          <w:tcPr>
            <w:tcW w:w="1417" w:type="dxa"/>
          </w:tcPr>
          <w:p w14:paraId="2B718B43" w14:textId="2F3C98FF" w:rsidR="00157F9F" w:rsidRPr="000E0EC1" w:rsidRDefault="00157F9F" w:rsidP="00157F9F"/>
          <w:p w14:paraId="3DF84A87" w14:textId="77777777" w:rsidR="00157F9F" w:rsidRPr="000E0EC1" w:rsidRDefault="00157F9F" w:rsidP="00157F9F"/>
          <w:p w14:paraId="794FF7EE" w14:textId="77777777" w:rsidR="00157F9F" w:rsidRPr="000E0EC1" w:rsidRDefault="00157F9F" w:rsidP="00157F9F"/>
          <w:p w14:paraId="0BE74BF7" w14:textId="77777777" w:rsidR="00157F9F" w:rsidRPr="000E0EC1" w:rsidRDefault="00157F9F" w:rsidP="00157F9F"/>
        </w:tc>
        <w:tc>
          <w:tcPr>
            <w:tcW w:w="1056" w:type="dxa"/>
          </w:tcPr>
          <w:p w14:paraId="435A08CA" w14:textId="77777777" w:rsidR="00157F9F" w:rsidRPr="00EE04D8" w:rsidRDefault="00157F9F" w:rsidP="00157F9F">
            <w:pPr>
              <w:rPr>
                <w:sz w:val="24"/>
                <w:szCs w:val="24"/>
              </w:rPr>
            </w:pPr>
          </w:p>
        </w:tc>
      </w:tr>
      <w:tr w:rsidR="00157F9F" w:rsidRPr="0005463E" w14:paraId="1A36C01B" w14:textId="77777777" w:rsidTr="00157F9F">
        <w:trPr>
          <w:gridAfter w:val="1"/>
          <w:wAfter w:w="6" w:type="dxa"/>
        </w:trPr>
        <w:tc>
          <w:tcPr>
            <w:tcW w:w="2698" w:type="dxa"/>
            <w:gridSpan w:val="2"/>
            <w:shd w:val="clear" w:color="auto" w:fill="F2F2F2" w:themeFill="background1" w:themeFillShade="F2"/>
          </w:tcPr>
          <w:p w14:paraId="30FD925F" w14:textId="77777777" w:rsidR="00157F9F" w:rsidRPr="000E0EC1" w:rsidRDefault="00157F9F" w:rsidP="00157F9F">
            <w:r w:rsidRPr="000E0EC1">
              <w:t>Specific  issues</w:t>
            </w:r>
          </w:p>
          <w:p w14:paraId="0AE52500" w14:textId="77777777" w:rsidR="00157F9F" w:rsidRPr="000E0EC1" w:rsidRDefault="00157F9F" w:rsidP="00157F9F"/>
          <w:p w14:paraId="13C9265A" w14:textId="77777777" w:rsidR="00157F9F" w:rsidRPr="000E0EC1" w:rsidRDefault="00157F9F" w:rsidP="00157F9F"/>
          <w:p w14:paraId="26D10AC3" w14:textId="77777777" w:rsidR="00157F9F" w:rsidRPr="000E0EC1" w:rsidRDefault="00157F9F" w:rsidP="00157F9F"/>
        </w:tc>
        <w:tc>
          <w:tcPr>
            <w:tcW w:w="4214" w:type="dxa"/>
            <w:gridSpan w:val="2"/>
            <w:shd w:val="clear" w:color="auto" w:fill="F2F2F2" w:themeFill="background1" w:themeFillShade="F2"/>
          </w:tcPr>
          <w:p w14:paraId="3C9699EE" w14:textId="77777777" w:rsidR="00157F9F" w:rsidRPr="000E0EC1" w:rsidRDefault="00157F9F" w:rsidP="00157F9F">
            <w:r w:rsidRPr="000E0EC1">
              <w:t>Product specifications (e.g. TC Guide Part D)</w:t>
            </w:r>
          </w:p>
          <w:p w14:paraId="789C170D" w14:textId="77777777" w:rsidR="00157F9F" w:rsidRPr="000E0EC1" w:rsidRDefault="00157F9F" w:rsidP="00157F9F"/>
          <w:p w14:paraId="172D3487" w14:textId="77777777" w:rsidR="00157F9F" w:rsidRPr="000E0EC1" w:rsidRDefault="00157F9F" w:rsidP="00157F9F">
            <w:r w:rsidRPr="000E0EC1">
              <w:t>Additional requirements (e.g. MS specific requirements)</w:t>
            </w:r>
          </w:p>
          <w:p w14:paraId="3C44DA9D" w14:textId="77777777" w:rsidR="00157F9F" w:rsidRPr="000E0EC1" w:rsidRDefault="00157F9F" w:rsidP="00157F9F"/>
        </w:tc>
        <w:tc>
          <w:tcPr>
            <w:tcW w:w="1648" w:type="dxa"/>
          </w:tcPr>
          <w:p w14:paraId="596F6AC8" w14:textId="77777777" w:rsidR="00157F9F" w:rsidRPr="000E0EC1" w:rsidRDefault="00157F9F" w:rsidP="00157F9F"/>
        </w:tc>
        <w:tc>
          <w:tcPr>
            <w:tcW w:w="1417" w:type="dxa"/>
          </w:tcPr>
          <w:p w14:paraId="38837C06" w14:textId="49C659CA" w:rsidR="00157F9F" w:rsidRPr="000E0EC1" w:rsidRDefault="00157F9F" w:rsidP="00157F9F"/>
          <w:p w14:paraId="2739B47E" w14:textId="77777777" w:rsidR="00157F9F" w:rsidRPr="000E0EC1" w:rsidRDefault="00157F9F" w:rsidP="00157F9F"/>
          <w:p w14:paraId="7A6480E2" w14:textId="77777777" w:rsidR="00157F9F" w:rsidRDefault="00157F9F" w:rsidP="00157F9F">
            <w:r w:rsidRPr="000E0EC1">
              <w:t xml:space="preserve">e.g. Guideline </w:t>
            </w:r>
            <w:r w:rsidRPr="000E0EC1">
              <w:rPr>
                <w:i/>
              </w:rPr>
              <w:t>abc</w:t>
            </w:r>
            <w:r w:rsidRPr="000E0EC1">
              <w:t xml:space="preserve">, National Medical Board: </w:t>
            </w:r>
          </w:p>
          <w:p w14:paraId="6BCE1618" w14:textId="5ADA0E54" w:rsidR="00157F9F" w:rsidRPr="000E0EC1" w:rsidRDefault="00157F9F" w:rsidP="00157F9F">
            <w:r w:rsidRPr="000E0EC1">
              <w:t xml:space="preserve">additional testing requirement </w:t>
            </w:r>
            <w:r w:rsidRPr="000E0EC1">
              <w:rPr>
                <w:i/>
              </w:rPr>
              <w:t>xyz</w:t>
            </w:r>
          </w:p>
        </w:tc>
        <w:tc>
          <w:tcPr>
            <w:tcW w:w="1056" w:type="dxa"/>
          </w:tcPr>
          <w:p w14:paraId="5C328C21" w14:textId="77777777" w:rsidR="00157F9F" w:rsidRDefault="00157F9F" w:rsidP="00157F9F">
            <w:pPr>
              <w:rPr>
                <w:sz w:val="24"/>
                <w:szCs w:val="24"/>
              </w:rPr>
            </w:pPr>
          </w:p>
        </w:tc>
      </w:tr>
      <w:tr w:rsidR="00157F9F" w:rsidRPr="0005463E" w14:paraId="159F45B0" w14:textId="77777777" w:rsidTr="00157F9F">
        <w:trPr>
          <w:gridAfter w:val="1"/>
          <w:wAfter w:w="6" w:type="dxa"/>
        </w:trPr>
        <w:tc>
          <w:tcPr>
            <w:tcW w:w="2698" w:type="dxa"/>
            <w:gridSpan w:val="2"/>
            <w:shd w:val="clear" w:color="auto" w:fill="F2F2F2" w:themeFill="background1" w:themeFillShade="F2"/>
          </w:tcPr>
          <w:p w14:paraId="417497C9" w14:textId="77777777" w:rsidR="00157F9F" w:rsidRPr="000E0EC1" w:rsidRDefault="00157F9F" w:rsidP="00157F9F">
            <w:r w:rsidRPr="000E0EC1">
              <w:t>Expert board review</w:t>
            </w:r>
          </w:p>
          <w:p w14:paraId="30EFDAE7" w14:textId="77777777" w:rsidR="00157F9F" w:rsidRPr="000E0EC1" w:rsidRDefault="00157F9F" w:rsidP="00157F9F">
            <w:r w:rsidRPr="000E0EC1">
              <w:t>(e.g. CASoHO)</w:t>
            </w:r>
          </w:p>
          <w:p w14:paraId="7CADA46F" w14:textId="77777777" w:rsidR="00157F9F" w:rsidRPr="000E0EC1" w:rsidRDefault="00157F9F" w:rsidP="00157F9F"/>
        </w:tc>
        <w:tc>
          <w:tcPr>
            <w:tcW w:w="4214" w:type="dxa"/>
            <w:gridSpan w:val="2"/>
            <w:shd w:val="clear" w:color="auto" w:fill="F2F2F2" w:themeFill="background1" w:themeFillShade="F2"/>
          </w:tcPr>
          <w:p w14:paraId="2C8A3255" w14:textId="77777777" w:rsidR="00157F9F" w:rsidRPr="000E0EC1" w:rsidRDefault="00157F9F" w:rsidP="00157F9F">
            <w:r w:rsidRPr="000E0EC1">
              <w:t xml:space="preserve">Request for review (e.g. new processing methods, RMM) </w:t>
            </w:r>
          </w:p>
          <w:p w14:paraId="4CB9B208" w14:textId="77777777" w:rsidR="00157F9F" w:rsidRPr="000E0EC1" w:rsidRDefault="00157F9F" w:rsidP="00157F9F"/>
          <w:p w14:paraId="0AEFBDDE" w14:textId="77777777" w:rsidR="00157F9F" w:rsidRPr="000E0EC1" w:rsidRDefault="00157F9F" w:rsidP="00157F9F">
            <w:r w:rsidRPr="000E0EC1">
              <w:t xml:space="preserve">Request for revision (e.g. EDQM Guide) </w:t>
            </w:r>
          </w:p>
          <w:p w14:paraId="2A53A2C6" w14:textId="77777777" w:rsidR="00157F9F" w:rsidRPr="000E0EC1" w:rsidRDefault="00157F9F" w:rsidP="00157F9F"/>
        </w:tc>
        <w:tc>
          <w:tcPr>
            <w:tcW w:w="1648" w:type="dxa"/>
          </w:tcPr>
          <w:p w14:paraId="6403C467" w14:textId="77777777" w:rsidR="00157F9F" w:rsidRPr="000E0EC1" w:rsidRDefault="00157F9F" w:rsidP="00157F9F"/>
        </w:tc>
        <w:tc>
          <w:tcPr>
            <w:tcW w:w="1417" w:type="dxa"/>
          </w:tcPr>
          <w:p w14:paraId="65985773" w14:textId="226050AD" w:rsidR="00157F9F" w:rsidRPr="000E0EC1" w:rsidRDefault="00157F9F" w:rsidP="00157F9F"/>
        </w:tc>
        <w:tc>
          <w:tcPr>
            <w:tcW w:w="1056" w:type="dxa"/>
          </w:tcPr>
          <w:p w14:paraId="205FC898" w14:textId="77777777" w:rsidR="00157F9F" w:rsidRDefault="00157F9F" w:rsidP="00157F9F">
            <w:pPr>
              <w:rPr>
                <w:sz w:val="24"/>
                <w:szCs w:val="24"/>
              </w:rPr>
            </w:pPr>
          </w:p>
        </w:tc>
      </w:tr>
    </w:tbl>
    <w:p w14:paraId="1CBCA891" w14:textId="37682AB5" w:rsidR="00F25365" w:rsidRDefault="00F25365" w:rsidP="00F25365">
      <w:pPr>
        <w:pStyle w:val="Heading1"/>
        <w:jc w:val="both"/>
      </w:pPr>
      <w:r w:rsidRPr="00F25365">
        <w:br w:type="page"/>
      </w:r>
      <w:bookmarkStart w:id="60" w:name="_Toc36459907"/>
      <w:bookmarkStart w:id="61" w:name="_Toc41427188"/>
      <w:r w:rsidR="000C0AAB">
        <w:lastRenderedPageBreak/>
        <w:t>Appendi</w:t>
      </w:r>
      <w:r w:rsidRPr="00752D97">
        <w:t>x II - List of authors and collaborators</w:t>
      </w:r>
      <w:bookmarkEnd w:id="60"/>
      <w:bookmarkEnd w:id="61"/>
    </w:p>
    <w:p w14:paraId="323B3932" w14:textId="35041374" w:rsidR="00F514B8" w:rsidRPr="00E720E7" w:rsidRDefault="00F514B8" w:rsidP="00F514B8"/>
    <w:tbl>
      <w:tblPr>
        <w:tblStyle w:val="TableGrid"/>
        <w:tblW w:w="93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55"/>
        <w:gridCol w:w="5244"/>
        <w:gridCol w:w="2551"/>
      </w:tblGrid>
      <w:tr w:rsidR="00F514B8" w:rsidRPr="009B1537" w14:paraId="236012F8" w14:textId="77777777" w:rsidTr="00930EBC">
        <w:trPr>
          <w:trHeight w:val="57"/>
        </w:trPr>
        <w:tc>
          <w:tcPr>
            <w:tcW w:w="1555" w:type="dxa"/>
            <w:vMerge w:val="restart"/>
            <w:shd w:val="clear" w:color="auto" w:fill="DFE3E5" w:themeFill="background2"/>
            <w:vAlign w:val="center"/>
          </w:tcPr>
          <w:p w14:paraId="110236BF" w14:textId="77777777" w:rsidR="00F514B8" w:rsidRPr="001D747C" w:rsidRDefault="00F514B8" w:rsidP="00930EBC">
            <w:pPr>
              <w:contextualSpacing/>
              <w:rPr>
                <w:rFonts w:cstheme="minorHAnsi"/>
                <w:b/>
                <w:sz w:val="22"/>
                <w:szCs w:val="22"/>
                <w:lang w:val="en-GB"/>
              </w:rPr>
            </w:pPr>
            <w:r w:rsidRPr="001D747C">
              <w:rPr>
                <w:rFonts w:cstheme="minorHAnsi"/>
                <w:b/>
                <w:sz w:val="22"/>
                <w:szCs w:val="22"/>
                <w:lang w:val="en-GB"/>
              </w:rPr>
              <w:t>WP8 Leaders</w:t>
            </w:r>
          </w:p>
        </w:tc>
        <w:tc>
          <w:tcPr>
            <w:tcW w:w="5244" w:type="dxa"/>
            <w:vAlign w:val="center"/>
          </w:tcPr>
          <w:p w14:paraId="1CFAF13D" w14:textId="77777777" w:rsidR="00F514B8" w:rsidRPr="001D747C" w:rsidRDefault="00F514B8" w:rsidP="00930EBC">
            <w:pPr>
              <w:contextualSpacing/>
              <w:rPr>
                <w:rFonts w:cstheme="minorHAnsi"/>
                <w:sz w:val="22"/>
                <w:szCs w:val="22"/>
                <w:lang w:val="en-GB"/>
              </w:rPr>
            </w:pPr>
            <w:r w:rsidRPr="001D747C">
              <w:rPr>
                <w:rFonts w:cstheme="minorHAnsi"/>
                <w:sz w:val="22"/>
                <w:szCs w:val="22"/>
                <w:lang w:val="en-GB"/>
              </w:rPr>
              <w:t>Finnish Medicines Agency (Fimea) – Finland</w:t>
            </w:r>
          </w:p>
        </w:tc>
        <w:tc>
          <w:tcPr>
            <w:tcW w:w="2551" w:type="dxa"/>
            <w:vAlign w:val="center"/>
          </w:tcPr>
          <w:p w14:paraId="62057F4F" w14:textId="77777777" w:rsidR="00F514B8" w:rsidRPr="001D747C" w:rsidRDefault="00F514B8" w:rsidP="00930EBC">
            <w:pPr>
              <w:contextualSpacing/>
              <w:rPr>
                <w:rFonts w:cstheme="minorHAnsi"/>
                <w:sz w:val="22"/>
                <w:szCs w:val="22"/>
                <w:lang w:val="fi-FI"/>
              </w:rPr>
            </w:pPr>
            <w:r w:rsidRPr="001D747C">
              <w:rPr>
                <w:rFonts w:cstheme="minorHAnsi"/>
                <w:sz w:val="22"/>
                <w:szCs w:val="22"/>
                <w:lang w:val="fi-FI"/>
              </w:rPr>
              <w:t xml:space="preserve">Anu </w:t>
            </w:r>
            <w:commentRangeStart w:id="62"/>
            <w:r w:rsidRPr="001D747C">
              <w:rPr>
                <w:rFonts w:cstheme="minorHAnsi"/>
                <w:sz w:val="22"/>
                <w:szCs w:val="22"/>
                <w:lang w:val="fi-FI"/>
              </w:rPr>
              <w:t>Puomila</w:t>
            </w:r>
            <w:commentRangeEnd w:id="62"/>
            <w:r w:rsidR="00636116">
              <w:rPr>
                <w:rStyle w:val="CommentReference"/>
              </w:rPr>
              <w:commentReference w:id="62"/>
            </w:r>
          </w:p>
          <w:p w14:paraId="07F1E4DA" w14:textId="77777777" w:rsidR="00F514B8" w:rsidRDefault="00F514B8" w:rsidP="00930EBC">
            <w:pPr>
              <w:contextualSpacing/>
              <w:rPr>
                <w:rFonts w:cstheme="minorHAnsi"/>
                <w:sz w:val="22"/>
                <w:szCs w:val="22"/>
                <w:lang w:val="fi-FI"/>
              </w:rPr>
            </w:pPr>
            <w:r>
              <w:rPr>
                <w:rFonts w:cstheme="minorHAnsi"/>
                <w:sz w:val="22"/>
                <w:szCs w:val="22"/>
                <w:lang w:val="fi-FI"/>
              </w:rPr>
              <w:t>Sari Tähtiharju</w:t>
            </w:r>
            <w:r w:rsidRPr="001D747C">
              <w:rPr>
                <w:rFonts w:cstheme="minorHAnsi"/>
                <w:sz w:val="22"/>
                <w:szCs w:val="22"/>
                <w:lang w:val="fi-FI"/>
              </w:rPr>
              <w:t xml:space="preserve"> </w:t>
            </w:r>
          </w:p>
          <w:p w14:paraId="65E528EE" w14:textId="77777777" w:rsidR="00F514B8" w:rsidRPr="001D747C" w:rsidRDefault="00F514B8" w:rsidP="00930EBC">
            <w:pPr>
              <w:contextualSpacing/>
              <w:rPr>
                <w:rFonts w:cstheme="minorHAnsi"/>
                <w:sz w:val="22"/>
                <w:szCs w:val="22"/>
                <w:lang w:val="fi-FI"/>
              </w:rPr>
            </w:pPr>
            <w:r w:rsidRPr="001D747C">
              <w:rPr>
                <w:rFonts w:cstheme="minorHAnsi"/>
                <w:sz w:val="22"/>
                <w:szCs w:val="22"/>
                <w:lang w:val="fi-FI"/>
              </w:rPr>
              <w:t>Kristiina Järvinen</w:t>
            </w:r>
          </w:p>
        </w:tc>
      </w:tr>
      <w:tr w:rsidR="00F514B8" w:rsidRPr="001D747C" w14:paraId="3B3326F7" w14:textId="77777777" w:rsidTr="00930EBC">
        <w:trPr>
          <w:trHeight w:val="57"/>
        </w:trPr>
        <w:tc>
          <w:tcPr>
            <w:tcW w:w="1555" w:type="dxa"/>
            <w:vMerge/>
            <w:shd w:val="clear" w:color="auto" w:fill="DFE3E5" w:themeFill="background2"/>
            <w:vAlign w:val="center"/>
          </w:tcPr>
          <w:p w14:paraId="37C48C23" w14:textId="77777777" w:rsidR="00F514B8" w:rsidRPr="001D747C" w:rsidRDefault="00F514B8" w:rsidP="00930EBC">
            <w:pPr>
              <w:contextualSpacing/>
              <w:rPr>
                <w:rFonts w:cstheme="minorHAnsi"/>
                <w:b/>
                <w:sz w:val="22"/>
                <w:szCs w:val="22"/>
                <w:lang w:val="fi-FI"/>
              </w:rPr>
            </w:pPr>
          </w:p>
        </w:tc>
        <w:tc>
          <w:tcPr>
            <w:tcW w:w="5244" w:type="dxa"/>
            <w:vAlign w:val="center"/>
          </w:tcPr>
          <w:p w14:paraId="0A40DE9A" w14:textId="74217988" w:rsidR="00F514B8" w:rsidRPr="001D747C" w:rsidRDefault="00567AFB" w:rsidP="003D7647">
            <w:pPr>
              <w:contextualSpacing/>
              <w:rPr>
                <w:rFonts w:cstheme="minorHAnsi"/>
                <w:sz w:val="22"/>
                <w:szCs w:val="22"/>
                <w:lang w:val="en-GB"/>
              </w:rPr>
            </w:pPr>
            <w:r w:rsidRPr="00567AFB">
              <w:rPr>
                <w:rFonts w:cstheme="minorHAnsi"/>
                <w:sz w:val="22"/>
                <w:szCs w:val="22"/>
                <w:lang w:val="en-GB"/>
              </w:rPr>
              <w:t>Agence de la biomédecine</w:t>
            </w:r>
            <w:r>
              <w:rPr>
                <w:rFonts w:cstheme="minorHAnsi"/>
                <w:sz w:val="22"/>
                <w:szCs w:val="22"/>
                <w:lang w:val="en-GB"/>
              </w:rPr>
              <w:t xml:space="preserve"> (ABM)</w:t>
            </w:r>
            <w:r w:rsidR="00F514B8" w:rsidRPr="001D747C">
              <w:rPr>
                <w:rFonts w:cstheme="minorHAnsi"/>
                <w:sz w:val="22"/>
                <w:szCs w:val="22"/>
                <w:lang w:val="en-GB"/>
              </w:rPr>
              <w:t xml:space="preserve"> – </w:t>
            </w:r>
            <w:r w:rsidR="003D7647">
              <w:rPr>
                <w:rFonts w:cstheme="minorHAnsi"/>
                <w:sz w:val="22"/>
                <w:szCs w:val="22"/>
                <w:lang w:val="en-GB"/>
              </w:rPr>
              <w:t>France</w:t>
            </w:r>
          </w:p>
        </w:tc>
        <w:tc>
          <w:tcPr>
            <w:tcW w:w="2551" w:type="dxa"/>
            <w:vAlign w:val="center"/>
          </w:tcPr>
          <w:p w14:paraId="193E4C85" w14:textId="77777777" w:rsidR="00F514B8" w:rsidRDefault="00515447" w:rsidP="00930EBC">
            <w:pPr>
              <w:contextualSpacing/>
              <w:rPr>
                <w:rFonts w:cstheme="minorHAnsi"/>
                <w:sz w:val="22"/>
                <w:szCs w:val="22"/>
                <w:lang w:val="en-GB"/>
              </w:rPr>
            </w:pPr>
            <w:r>
              <w:rPr>
                <w:rFonts w:cstheme="minorHAnsi"/>
                <w:sz w:val="22"/>
                <w:szCs w:val="22"/>
                <w:lang w:val="en-GB"/>
              </w:rPr>
              <w:t>Katia Bruneau</w:t>
            </w:r>
          </w:p>
          <w:p w14:paraId="5CBC3466" w14:textId="2C742B3C" w:rsidR="00515447" w:rsidRPr="001D747C" w:rsidRDefault="00515447" w:rsidP="00930EBC">
            <w:pPr>
              <w:contextualSpacing/>
              <w:rPr>
                <w:rFonts w:cstheme="minorHAnsi"/>
                <w:sz w:val="22"/>
                <w:szCs w:val="22"/>
                <w:lang w:val="en-GB"/>
              </w:rPr>
            </w:pPr>
            <w:r>
              <w:rPr>
                <w:rFonts w:cstheme="minorHAnsi"/>
                <w:sz w:val="22"/>
                <w:szCs w:val="22"/>
                <w:lang w:val="en-GB"/>
              </w:rPr>
              <w:t>Samuel Arrabal</w:t>
            </w:r>
          </w:p>
        </w:tc>
      </w:tr>
      <w:tr w:rsidR="00F514B8" w:rsidRPr="001D747C" w14:paraId="12E083EB" w14:textId="77777777" w:rsidTr="00930EBC">
        <w:trPr>
          <w:trHeight w:val="57"/>
        </w:trPr>
        <w:tc>
          <w:tcPr>
            <w:tcW w:w="1555" w:type="dxa"/>
            <w:vMerge w:val="restart"/>
            <w:shd w:val="clear" w:color="auto" w:fill="DFE3E5" w:themeFill="background2"/>
            <w:vAlign w:val="center"/>
          </w:tcPr>
          <w:p w14:paraId="346A9983" w14:textId="77777777" w:rsidR="00F514B8" w:rsidRPr="001D747C" w:rsidRDefault="00F514B8" w:rsidP="00930EBC">
            <w:pPr>
              <w:contextualSpacing/>
              <w:rPr>
                <w:rFonts w:cstheme="minorHAnsi"/>
                <w:b/>
                <w:sz w:val="22"/>
                <w:szCs w:val="22"/>
                <w:lang w:val="en-GB"/>
              </w:rPr>
            </w:pPr>
            <w:r w:rsidRPr="001D747C">
              <w:rPr>
                <w:rFonts w:cstheme="minorHAnsi"/>
                <w:b/>
                <w:sz w:val="22"/>
                <w:szCs w:val="22"/>
                <w:lang w:val="en-GB"/>
              </w:rPr>
              <w:t>Associated Partners</w:t>
            </w:r>
          </w:p>
        </w:tc>
        <w:tc>
          <w:tcPr>
            <w:tcW w:w="5244" w:type="dxa"/>
            <w:vAlign w:val="center"/>
          </w:tcPr>
          <w:p w14:paraId="789010E0" w14:textId="77777777" w:rsidR="00F514B8" w:rsidRPr="00AF3153" w:rsidRDefault="00F514B8" w:rsidP="00930EBC">
            <w:pPr>
              <w:contextualSpacing/>
              <w:rPr>
                <w:rFonts w:cstheme="minorHAnsi"/>
                <w:sz w:val="22"/>
                <w:szCs w:val="22"/>
                <w:lang w:val="pt-BR"/>
              </w:rPr>
            </w:pPr>
            <w:r w:rsidRPr="00AF3153">
              <w:rPr>
                <w:rFonts w:cstheme="minorHAnsi"/>
                <w:sz w:val="22"/>
                <w:szCs w:val="22"/>
                <w:lang w:val="pt-BR"/>
              </w:rPr>
              <w:t xml:space="preserve">Istituto Superiore di Sanitá (ISS–CNT–CNS) – Italy </w:t>
            </w:r>
          </w:p>
          <w:p w14:paraId="49E45CDB" w14:textId="77777777" w:rsidR="00F514B8" w:rsidRPr="009605AB" w:rsidRDefault="00F514B8" w:rsidP="00930EBC">
            <w:pPr>
              <w:contextualSpacing/>
              <w:rPr>
                <w:rFonts w:cstheme="minorHAnsi"/>
                <w:sz w:val="22"/>
                <w:szCs w:val="22"/>
                <w:highlight w:val="yellow"/>
                <w:lang w:val="en-GB"/>
              </w:rPr>
            </w:pPr>
            <w:r w:rsidRPr="00AF3153">
              <w:rPr>
                <w:rFonts w:cstheme="minorHAnsi"/>
                <w:sz w:val="22"/>
                <w:szCs w:val="22"/>
                <w:lang w:val="en-GB"/>
              </w:rPr>
              <w:t>(GAPP Coordinators; WP1 Leaders)</w:t>
            </w:r>
          </w:p>
        </w:tc>
        <w:tc>
          <w:tcPr>
            <w:tcW w:w="2551" w:type="dxa"/>
            <w:vAlign w:val="center"/>
          </w:tcPr>
          <w:p w14:paraId="58CB2495" w14:textId="77777777" w:rsidR="00F514B8" w:rsidRPr="00AF3153" w:rsidRDefault="00F514B8" w:rsidP="00930EBC">
            <w:pPr>
              <w:contextualSpacing/>
              <w:rPr>
                <w:rFonts w:cstheme="minorHAnsi"/>
                <w:sz w:val="22"/>
                <w:szCs w:val="22"/>
                <w:lang w:val="fi-FI"/>
              </w:rPr>
            </w:pPr>
            <w:r w:rsidRPr="00AF3153">
              <w:rPr>
                <w:rFonts w:cstheme="minorHAnsi"/>
                <w:sz w:val="22"/>
                <w:szCs w:val="22"/>
                <w:lang w:val="fi-FI"/>
              </w:rPr>
              <w:t>Claudia Carella</w:t>
            </w:r>
          </w:p>
          <w:p w14:paraId="04475EF8" w14:textId="77777777" w:rsidR="00F514B8" w:rsidRPr="00C31293" w:rsidRDefault="00F514B8" w:rsidP="00930EBC">
            <w:pPr>
              <w:contextualSpacing/>
              <w:rPr>
                <w:rFonts w:cstheme="minorHAnsi"/>
                <w:sz w:val="22"/>
                <w:szCs w:val="22"/>
                <w:lang w:val="fi-FI"/>
              </w:rPr>
            </w:pPr>
            <w:r w:rsidRPr="00C31293">
              <w:rPr>
                <w:rFonts w:cstheme="minorHAnsi"/>
                <w:sz w:val="22"/>
                <w:szCs w:val="22"/>
                <w:lang w:val="fi-FI"/>
              </w:rPr>
              <w:t>Paola Di Ciaccio</w:t>
            </w:r>
          </w:p>
          <w:p w14:paraId="411306B7" w14:textId="77777777" w:rsidR="00F514B8" w:rsidRPr="00486E19" w:rsidRDefault="00F514B8" w:rsidP="00930EBC">
            <w:pPr>
              <w:contextualSpacing/>
              <w:rPr>
                <w:rFonts w:cstheme="minorHAnsi"/>
                <w:sz w:val="22"/>
                <w:szCs w:val="22"/>
                <w:lang w:val="fi-FI"/>
              </w:rPr>
            </w:pPr>
            <w:r w:rsidRPr="00486E19">
              <w:rPr>
                <w:rFonts w:cstheme="minorHAnsi"/>
                <w:sz w:val="22"/>
                <w:szCs w:val="22"/>
                <w:lang w:val="fi-FI"/>
              </w:rPr>
              <w:t>Simonetta Pupella</w:t>
            </w:r>
          </w:p>
          <w:p w14:paraId="7BD6903C" w14:textId="77777777" w:rsidR="00F514B8" w:rsidRDefault="00F514B8" w:rsidP="00930EBC">
            <w:pPr>
              <w:contextualSpacing/>
              <w:rPr>
                <w:rFonts w:cstheme="minorHAnsi"/>
                <w:sz w:val="22"/>
                <w:szCs w:val="22"/>
                <w:lang w:val="en-GB"/>
              </w:rPr>
            </w:pPr>
            <w:r w:rsidRPr="00C31293">
              <w:rPr>
                <w:rFonts w:cstheme="minorHAnsi"/>
                <w:sz w:val="22"/>
                <w:szCs w:val="22"/>
                <w:lang w:val="en-GB"/>
              </w:rPr>
              <w:t>Ursula La Rocca</w:t>
            </w:r>
          </w:p>
          <w:p w14:paraId="11F58448" w14:textId="15B4DE54" w:rsidR="00C31293" w:rsidRPr="009605AB" w:rsidRDefault="00C31293" w:rsidP="00930EBC">
            <w:pPr>
              <w:contextualSpacing/>
              <w:rPr>
                <w:rFonts w:cstheme="minorHAnsi"/>
                <w:sz w:val="22"/>
                <w:szCs w:val="22"/>
                <w:highlight w:val="yellow"/>
                <w:lang w:val="en-GB"/>
              </w:rPr>
            </w:pPr>
            <w:r>
              <w:rPr>
                <w:rFonts w:cstheme="minorHAnsi"/>
                <w:sz w:val="22"/>
                <w:szCs w:val="22"/>
                <w:lang w:val="en-GB"/>
              </w:rPr>
              <w:t>Maura Mareri</w:t>
            </w:r>
          </w:p>
        </w:tc>
      </w:tr>
      <w:tr w:rsidR="009605AB" w:rsidRPr="001D747C" w14:paraId="4FCBBEEE" w14:textId="77777777" w:rsidTr="00E72759">
        <w:trPr>
          <w:trHeight w:val="57"/>
        </w:trPr>
        <w:tc>
          <w:tcPr>
            <w:tcW w:w="1555" w:type="dxa"/>
            <w:vMerge/>
            <w:shd w:val="clear" w:color="auto" w:fill="DFE3E5" w:themeFill="background2"/>
            <w:vAlign w:val="center"/>
          </w:tcPr>
          <w:p w14:paraId="54B232B4" w14:textId="77777777" w:rsidR="009605AB" w:rsidRPr="001D747C" w:rsidRDefault="009605AB" w:rsidP="009605AB">
            <w:pPr>
              <w:contextualSpacing/>
              <w:rPr>
                <w:rFonts w:cstheme="minorHAnsi"/>
                <w:b/>
                <w:sz w:val="22"/>
                <w:szCs w:val="22"/>
                <w:lang w:val="pt-BR"/>
              </w:rPr>
            </w:pPr>
          </w:p>
        </w:tc>
        <w:tc>
          <w:tcPr>
            <w:tcW w:w="5244" w:type="dxa"/>
            <w:shd w:val="clear" w:color="auto" w:fill="auto"/>
            <w:vAlign w:val="center"/>
          </w:tcPr>
          <w:p w14:paraId="534FF746" w14:textId="77777777" w:rsidR="009605AB" w:rsidRPr="00E72759" w:rsidRDefault="009605AB" w:rsidP="009605AB">
            <w:pPr>
              <w:contextualSpacing/>
              <w:rPr>
                <w:rFonts w:cstheme="minorHAnsi"/>
                <w:sz w:val="22"/>
                <w:szCs w:val="22"/>
                <w:lang w:val="en-GB"/>
              </w:rPr>
            </w:pPr>
            <w:r w:rsidRPr="00E72759">
              <w:rPr>
                <w:rFonts w:cstheme="minorHAnsi"/>
                <w:sz w:val="22"/>
                <w:szCs w:val="22"/>
                <w:lang w:val="en-GB"/>
              </w:rPr>
              <w:t xml:space="preserve">Paul Ehrlich Institute (PEI) </w:t>
            </w:r>
            <w:r w:rsidRPr="00E72759">
              <w:rPr>
                <w:rFonts w:cstheme="minorHAnsi"/>
                <w:sz w:val="22"/>
                <w:szCs w:val="22"/>
              </w:rPr>
              <w:t>–</w:t>
            </w:r>
            <w:r w:rsidRPr="00E72759">
              <w:rPr>
                <w:rFonts w:cstheme="minorHAnsi"/>
                <w:sz w:val="22"/>
                <w:szCs w:val="22"/>
                <w:lang w:val="en-GB"/>
              </w:rPr>
              <w:t xml:space="preserve"> Germany</w:t>
            </w:r>
          </w:p>
          <w:p w14:paraId="3DCE0C5A" w14:textId="77777777" w:rsidR="009605AB" w:rsidRPr="009605AB" w:rsidRDefault="009605AB" w:rsidP="009605AB">
            <w:pPr>
              <w:contextualSpacing/>
              <w:rPr>
                <w:rFonts w:cstheme="minorHAnsi"/>
                <w:sz w:val="22"/>
                <w:szCs w:val="22"/>
                <w:highlight w:val="yellow"/>
                <w:lang w:val="en-GB"/>
              </w:rPr>
            </w:pPr>
            <w:r w:rsidRPr="00E72759">
              <w:rPr>
                <w:rFonts w:cstheme="minorHAnsi"/>
                <w:sz w:val="22"/>
                <w:szCs w:val="22"/>
                <w:lang w:val="en-GB"/>
              </w:rPr>
              <w:t>(WP9 Leaders)</w:t>
            </w:r>
          </w:p>
        </w:tc>
        <w:tc>
          <w:tcPr>
            <w:tcW w:w="2551" w:type="dxa"/>
            <w:vAlign w:val="center"/>
          </w:tcPr>
          <w:p w14:paraId="24BC9CF5" w14:textId="77777777" w:rsidR="009605AB" w:rsidRPr="00FA3BAD" w:rsidRDefault="009605AB" w:rsidP="009605AB">
            <w:pPr>
              <w:contextualSpacing/>
              <w:rPr>
                <w:rFonts w:cstheme="minorHAnsi"/>
                <w:sz w:val="22"/>
                <w:szCs w:val="22"/>
                <w:lang w:val="en-GB"/>
              </w:rPr>
            </w:pPr>
            <w:r w:rsidRPr="00FA3BAD">
              <w:rPr>
                <w:rFonts w:cstheme="minorHAnsi"/>
                <w:sz w:val="22"/>
                <w:szCs w:val="22"/>
                <w:lang w:val="en-GB"/>
              </w:rPr>
              <w:t>Winfried Kammer</w:t>
            </w:r>
          </w:p>
          <w:p w14:paraId="72DE28AF" w14:textId="77777777" w:rsidR="009605AB" w:rsidRPr="009605AB" w:rsidRDefault="009605AB" w:rsidP="009605AB">
            <w:pPr>
              <w:contextualSpacing/>
              <w:rPr>
                <w:rFonts w:cstheme="minorHAnsi"/>
                <w:sz w:val="22"/>
                <w:szCs w:val="22"/>
                <w:highlight w:val="yellow"/>
                <w:lang w:val="en-GB"/>
              </w:rPr>
            </w:pPr>
            <w:r w:rsidRPr="00FA3BAD">
              <w:rPr>
                <w:rFonts w:cstheme="minorHAnsi"/>
                <w:sz w:val="22"/>
                <w:szCs w:val="22"/>
                <w:lang w:val="en-GB"/>
              </w:rPr>
              <w:t>Meri Tanner</w:t>
            </w:r>
          </w:p>
        </w:tc>
      </w:tr>
      <w:tr w:rsidR="009605AB" w:rsidRPr="001D747C" w14:paraId="742C7CF9" w14:textId="77777777" w:rsidTr="00930EBC">
        <w:trPr>
          <w:trHeight w:val="57"/>
        </w:trPr>
        <w:tc>
          <w:tcPr>
            <w:tcW w:w="1555" w:type="dxa"/>
            <w:vMerge/>
            <w:shd w:val="clear" w:color="auto" w:fill="DFE3E5" w:themeFill="background2"/>
            <w:vAlign w:val="center"/>
          </w:tcPr>
          <w:p w14:paraId="1E258D3E" w14:textId="77777777" w:rsidR="009605AB" w:rsidRPr="001D747C" w:rsidRDefault="009605AB" w:rsidP="009605AB">
            <w:pPr>
              <w:contextualSpacing/>
              <w:rPr>
                <w:rFonts w:cstheme="minorHAnsi"/>
                <w:b/>
                <w:sz w:val="22"/>
                <w:szCs w:val="22"/>
                <w:lang w:val="en-GB"/>
              </w:rPr>
            </w:pPr>
          </w:p>
        </w:tc>
        <w:tc>
          <w:tcPr>
            <w:tcW w:w="5244" w:type="dxa"/>
            <w:vAlign w:val="center"/>
          </w:tcPr>
          <w:p w14:paraId="21A8496F" w14:textId="29D2858F" w:rsidR="009605AB" w:rsidRPr="009605AB" w:rsidRDefault="009605AB" w:rsidP="009605AB">
            <w:pPr>
              <w:contextualSpacing/>
              <w:rPr>
                <w:rFonts w:cstheme="minorHAnsi"/>
                <w:sz w:val="22"/>
                <w:szCs w:val="22"/>
                <w:highlight w:val="yellow"/>
              </w:rPr>
            </w:pPr>
            <w:r>
              <w:rPr>
                <w:rFonts w:cstheme="minorHAnsi"/>
                <w:sz w:val="22"/>
                <w:szCs w:val="22"/>
                <w:lang w:val="en-GB"/>
              </w:rPr>
              <w:t xml:space="preserve">Finnish Medicines Agency </w:t>
            </w:r>
            <w:r w:rsidRPr="001D747C">
              <w:rPr>
                <w:rFonts w:cstheme="minorHAnsi"/>
                <w:sz w:val="22"/>
                <w:szCs w:val="22"/>
                <w:lang w:val="en-GB"/>
              </w:rPr>
              <w:t xml:space="preserve">– </w:t>
            </w:r>
            <w:r>
              <w:rPr>
                <w:rFonts w:cstheme="minorHAnsi"/>
                <w:sz w:val="22"/>
                <w:szCs w:val="22"/>
                <w:lang w:val="en-GB"/>
              </w:rPr>
              <w:t>Finland</w:t>
            </w:r>
          </w:p>
        </w:tc>
        <w:tc>
          <w:tcPr>
            <w:tcW w:w="2551" w:type="dxa"/>
            <w:vAlign w:val="center"/>
          </w:tcPr>
          <w:p w14:paraId="5015ECDB" w14:textId="08F52275" w:rsidR="009605AB" w:rsidRPr="009605AB" w:rsidRDefault="009605AB" w:rsidP="009605AB">
            <w:pPr>
              <w:contextualSpacing/>
              <w:rPr>
                <w:rFonts w:cstheme="minorHAnsi"/>
                <w:sz w:val="22"/>
                <w:szCs w:val="22"/>
                <w:highlight w:val="yellow"/>
              </w:rPr>
            </w:pPr>
            <w:r>
              <w:rPr>
                <w:rFonts w:cstheme="minorHAnsi"/>
                <w:sz w:val="22"/>
                <w:szCs w:val="22"/>
                <w:lang w:val="en-GB"/>
              </w:rPr>
              <w:t>Paula Korhola</w:t>
            </w:r>
          </w:p>
        </w:tc>
      </w:tr>
      <w:tr w:rsidR="00751810" w:rsidRPr="001D747C" w14:paraId="76837EE7" w14:textId="77777777" w:rsidTr="00930EBC">
        <w:trPr>
          <w:trHeight w:val="57"/>
        </w:trPr>
        <w:tc>
          <w:tcPr>
            <w:tcW w:w="1555" w:type="dxa"/>
            <w:vMerge/>
            <w:shd w:val="clear" w:color="auto" w:fill="DFE3E5" w:themeFill="background2"/>
            <w:vAlign w:val="center"/>
          </w:tcPr>
          <w:p w14:paraId="20BA50D4" w14:textId="77777777" w:rsidR="00751810" w:rsidRPr="001D747C" w:rsidRDefault="00751810" w:rsidP="009605AB">
            <w:pPr>
              <w:contextualSpacing/>
              <w:rPr>
                <w:rFonts w:cstheme="minorHAnsi"/>
                <w:b/>
                <w:sz w:val="22"/>
                <w:szCs w:val="22"/>
                <w:lang w:val="en-GB"/>
              </w:rPr>
            </w:pPr>
          </w:p>
        </w:tc>
        <w:tc>
          <w:tcPr>
            <w:tcW w:w="5244" w:type="dxa"/>
            <w:vAlign w:val="center"/>
          </w:tcPr>
          <w:p w14:paraId="26BB9AED" w14:textId="71E84294" w:rsidR="00751810" w:rsidRDefault="00751810" w:rsidP="009605AB">
            <w:pPr>
              <w:contextualSpacing/>
              <w:rPr>
                <w:rFonts w:cstheme="minorHAnsi"/>
                <w:sz w:val="22"/>
                <w:szCs w:val="22"/>
                <w:lang w:val="en-GB"/>
              </w:rPr>
            </w:pPr>
            <w:r w:rsidRPr="00751810">
              <w:rPr>
                <w:rFonts w:cstheme="minorHAnsi"/>
                <w:sz w:val="22"/>
                <w:szCs w:val="22"/>
                <w:lang w:val="en-GB"/>
              </w:rPr>
              <w:t>Agence de la biomédecine (ABM) – France</w:t>
            </w:r>
          </w:p>
        </w:tc>
        <w:tc>
          <w:tcPr>
            <w:tcW w:w="2551" w:type="dxa"/>
            <w:vAlign w:val="center"/>
          </w:tcPr>
          <w:p w14:paraId="06333BA3" w14:textId="7E4ECBD7" w:rsidR="00751810" w:rsidRDefault="00AD73F8" w:rsidP="009605AB">
            <w:pPr>
              <w:contextualSpacing/>
              <w:rPr>
                <w:rFonts w:cstheme="minorHAnsi"/>
                <w:sz w:val="22"/>
                <w:szCs w:val="22"/>
                <w:lang w:val="en-GB"/>
              </w:rPr>
            </w:pPr>
            <w:r w:rsidRPr="00AD73F8">
              <w:rPr>
                <w:rFonts w:cstheme="minorHAnsi"/>
                <w:sz w:val="22"/>
                <w:szCs w:val="22"/>
                <w:lang w:val="en-GB"/>
              </w:rPr>
              <w:t>Sophie Lucas-Samuel</w:t>
            </w:r>
          </w:p>
        </w:tc>
      </w:tr>
      <w:tr w:rsidR="00E72759" w:rsidRPr="00E72759" w14:paraId="4955442C" w14:textId="77777777" w:rsidTr="00930EBC">
        <w:trPr>
          <w:trHeight w:val="57"/>
        </w:trPr>
        <w:tc>
          <w:tcPr>
            <w:tcW w:w="1555" w:type="dxa"/>
            <w:vMerge/>
            <w:shd w:val="clear" w:color="auto" w:fill="DFE3E5" w:themeFill="background2"/>
            <w:vAlign w:val="center"/>
          </w:tcPr>
          <w:p w14:paraId="08923918" w14:textId="77777777" w:rsidR="00E72759" w:rsidRPr="001D747C" w:rsidRDefault="00E72759" w:rsidP="009605AB">
            <w:pPr>
              <w:contextualSpacing/>
              <w:rPr>
                <w:rFonts w:cstheme="minorHAnsi"/>
                <w:b/>
                <w:sz w:val="22"/>
                <w:szCs w:val="22"/>
                <w:lang w:val="en-GB"/>
              </w:rPr>
            </w:pPr>
          </w:p>
        </w:tc>
        <w:tc>
          <w:tcPr>
            <w:tcW w:w="5244" w:type="dxa"/>
            <w:vAlign w:val="center"/>
          </w:tcPr>
          <w:p w14:paraId="6CA510ED" w14:textId="3BF12D5E" w:rsidR="00E72759" w:rsidRPr="00E72759" w:rsidRDefault="00E72759" w:rsidP="009605AB">
            <w:pPr>
              <w:contextualSpacing/>
              <w:rPr>
                <w:rFonts w:cstheme="minorHAnsi"/>
                <w:sz w:val="22"/>
                <w:szCs w:val="22"/>
                <w:lang w:val="de-DE"/>
              </w:rPr>
            </w:pPr>
            <w:r w:rsidRPr="00E72759">
              <w:rPr>
                <w:rFonts w:cstheme="minorHAnsi"/>
                <w:sz w:val="22"/>
                <w:szCs w:val="22"/>
                <w:lang w:val="de-DE"/>
              </w:rPr>
              <w:t>Paul Ehrlich Institute (PEI) – Germany</w:t>
            </w:r>
          </w:p>
        </w:tc>
        <w:tc>
          <w:tcPr>
            <w:tcW w:w="2551" w:type="dxa"/>
            <w:vAlign w:val="center"/>
          </w:tcPr>
          <w:p w14:paraId="74FE2181" w14:textId="5A92F417" w:rsidR="00E72759" w:rsidRPr="00BE0E7E" w:rsidRDefault="003974E3" w:rsidP="009605AB">
            <w:pPr>
              <w:contextualSpacing/>
              <w:rPr>
                <w:rFonts w:cstheme="minorHAnsi"/>
                <w:sz w:val="22"/>
                <w:szCs w:val="22"/>
                <w:lang w:val="sv-SE"/>
              </w:rPr>
            </w:pPr>
            <w:r w:rsidRPr="00BE0E7E">
              <w:rPr>
                <w:rFonts w:cstheme="minorHAnsi"/>
                <w:sz w:val="22"/>
                <w:szCs w:val="22"/>
                <w:lang w:val="sv-SE"/>
              </w:rPr>
              <w:t>Holger Lößner</w:t>
            </w:r>
          </w:p>
          <w:p w14:paraId="52AB0732" w14:textId="0F59395D" w:rsidR="000420A8" w:rsidRPr="00BE0E7E" w:rsidRDefault="000420A8" w:rsidP="009605AB">
            <w:pPr>
              <w:contextualSpacing/>
              <w:rPr>
                <w:rFonts w:cstheme="minorHAnsi"/>
                <w:sz w:val="22"/>
                <w:szCs w:val="22"/>
                <w:lang w:val="sv-SE"/>
              </w:rPr>
            </w:pPr>
            <w:r w:rsidRPr="00BE0E7E">
              <w:rPr>
                <w:rFonts w:cstheme="minorHAnsi"/>
                <w:sz w:val="22"/>
                <w:szCs w:val="22"/>
                <w:lang w:val="sv-SE"/>
              </w:rPr>
              <w:t>Marcel Prax</w:t>
            </w:r>
          </w:p>
          <w:p w14:paraId="6CFA6A3E" w14:textId="19A9709C" w:rsidR="000420A8" w:rsidRPr="00BE0E7E" w:rsidRDefault="000420A8" w:rsidP="009605AB">
            <w:pPr>
              <w:contextualSpacing/>
              <w:rPr>
                <w:rFonts w:cstheme="minorHAnsi"/>
                <w:sz w:val="22"/>
                <w:szCs w:val="22"/>
                <w:lang w:val="sv-SE"/>
              </w:rPr>
            </w:pPr>
            <w:r w:rsidRPr="00BE0E7E">
              <w:rPr>
                <w:rFonts w:cstheme="minorHAnsi"/>
                <w:sz w:val="22"/>
                <w:szCs w:val="22"/>
                <w:lang w:val="sv-SE"/>
              </w:rPr>
              <w:t>Oleg Krut</w:t>
            </w:r>
          </w:p>
          <w:p w14:paraId="138751AE" w14:textId="6E6012C8" w:rsidR="000420A8" w:rsidRPr="00E72759" w:rsidRDefault="000420A8" w:rsidP="009605AB">
            <w:pPr>
              <w:contextualSpacing/>
              <w:rPr>
                <w:rFonts w:cstheme="minorHAnsi"/>
                <w:sz w:val="22"/>
                <w:szCs w:val="22"/>
                <w:lang w:val="de-DE"/>
              </w:rPr>
            </w:pPr>
            <w:r>
              <w:rPr>
                <w:rFonts w:cstheme="minorHAnsi"/>
                <w:sz w:val="22"/>
                <w:szCs w:val="22"/>
                <w:lang w:val="de-DE"/>
              </w:rPr>
              <w:t>Frank Blaschke</w:t>
            </w:r>
          </w:p>
        </w:tc>
      </w:tr>
      <w:tr w:rsidR="00E24AA9" w:rsidRPr="001D747C" w14:paraId="7C99ED45" w14:textId="77777777" w:rsidTr="00930EBC">
        <w:trPr>
          <w:trHeight w:val="57"/>
        </w:trPr>
        <w:tc>
          <w:tcPr>
            <w:tcW w:w="1555" w:type="dxa"/>
            <w:vMerge/>
            <w:shd w:val="clear" w:color="auto" w:fill="DFE3E5" w:themeFill="background2"/>
            <w:vAlign w:val="center"/>
          </w:tcPr>
          <w:p w14:paraId="6FF9741C" w14:textId="77777777" w:rsidR="00E24AA9" w:rsidRPr="001D747C" w:rsidRDefault="00E24AA9" w:rsidP="009605AB">
            <w:pPr>
              <w:contextualSpacing/>
              <w:rPr>
                <w:rFonts w:cstheme="minorHAnsi"/>
                <w:b/>
                <w:sz w:val="22"/>
                <w:szCs w:val="22"/>
                <w:lang w:val="sv-SE"/>
              </w:rPr>
            </w:pPr>
          </w:p>
        </w:tc>
        <w:tc>
          <w:tcPr>
            <w:tcW w:w="5244" w:type="dxa"/>
            <w:vAlign w:val="center"/>
          </w:tcPr>
          <w:p w14:paraId="4FE84EBB" w14:textId="05D16AF1" w:rsidR="00E24AA9" w:rsidRPr="009605AB" w:rsidRDefault="00E24AA9" w:rsidP="009605AB">
            <w:pPr>
              <w:contextualSpacing/>
              <w:rPr>
                <w:rFonts w:eastAsia="Times New Roman" w:cstheme="minorHAnsi"/>
                <w:sz w:val="22"/>
                <w:szCs w:val="22"/>
                <w:highlight w:val="yellow"/>
                <w:lang w:val="pt-BR"/>
              </w:rPr>
            </w:pPr>
            <w:r w:rsidRPr="00E24AA9">
              <w:rPr>
                <w:rFonts w:eastAsia="Times New Roman" w:cstheme="minorHAnsi"/>
                <w:sz w:val="22"/>
                <w:szCs w:val="22"/>
                <w:lang w:val="pt-BR"/>
              </w:rPr>
              <w:t>Hellenic Natio</w:t>
            </w:r>
            <w:r>
              <w:rPr>
                <w:rFonts w:eastAsia="Times New Roman" w:cstheme="minorHAnsi"/>
                <w:sz w:val="22"/>
                <w:szCs w:val="22"/>
                <w:lang w:val="pt-BR"/>
              </w:rPr>
              <w:t xml:space="preserve">nal Blood Transfusion Center </w:t>
            </w:r>
            <w:r w:rsidRPr="00071081">
              <w:rPr>
                <w:rFonts w:cstheme="minorHAnsi"/>
                <w:sz w:val="22"/>
                <w:szCs w:val="22"/>
                <w:lang w:val="en-GB"/>
              </w:rPr>
              <w:t>–</w:t>
            </w:r>
            <w:r>
              <w:rPr>
                <w:rFonts w:cstheme="minorHAnsi"/>
                <w:sz w:val="22"/>
                <w:szCs w:val="22"/>
                <w:lang w:val="en-GB"/>
              </w:rPr>
              <w:t xml:space="preserve"> Greece</w:t>
            </w:r>
          </w:p>
        </w:tc>
        <w:tc>
          <w:tcPr>
            <w:tcW w:w="2551" w:type="dxa"/>
            <w:vAlign w:val="center"/>
          </w:tcPr>
          <w:p w14:paraId="1E213FD1" w14:textId="015402DE" w:rsidR="00E24AA9" w:rsidRPr="00E24AA9" w:rsidRDefault="00E24AA9" w:rsidP="009605AB">
            <w:pPr>
              <w:contextualSpacing/>
              <w:rPr>
                <w:rFonts w:cstheme="minorHAnsi"/>
                <w:sz w:val="22"/>
                <w:szCs w:val="22"/>
                <w:highlight w:val="yellow"/>
                <w:lang w:val="pt-BR"/>
              </w:rPr>
            </w:pPr>
            <w:r w:rsidRPr="00E24AA9">
              <w:rPr>
                <w:rFonts w:cstheme="minorHAnsi"/>
                <w:sz w:val="22"/>
                <w:szCs w:val="22"/>
                <w:lang w:val="pt-BR"/>
              </w:rPr>
              <w:t>Anthi Gafou</w:t>
            </w:r>
          </w:p>
        </w:tc>
      </w:tr>
      <w:tr w:rsidR="009605AB" w:rsidRPr="001D747C" w14:paraId="70C57B5E" w14:textId="77777777" w:rsidTr="00071081">
        <w:trPr>
          <w:trHeight w:val="57"/>
        </w:trPr>
        <w:tc>
          <w:tcPr>
            <w:tcW w:w="1555" w:type="dxa"/>
            <w:vMerge/>
            <w:shd w:val="clear" w:color="auto" w:fill="DFE3E5" w:themeFill="background2"/>
            <w:vAlign w:val="center"/>
          </w:tcPr>
          <w:p w14:paraId="26AC2D34" w14:textId="77777777" w:rsidR="009605AB" w:rsidRPr="001D747C" w:rsidRDefault="009605AB" w:rsidP="009605AB">
            <w:pPr>
              <w:contextualSpacing/>
              <w:rPr>
                <w:rFonts w:cstheme="minorHAnsi"/>
                <w:b/>
                <w:sz w:val="22"/>
                <w:szCs w:val="22"/>
                <w:lang w:val="en-GB"/>
              </w:rPr>
            </w:pPr>
          </w:p>
        </w:tc>
        <w:tc>
          <w:tcPr>
            <w:tcW w:w="5244" w:type="dxa"/>
            <w:shd w:val="clear" w:color="auto" w:fill="auto"/>
            <w:vAlign w:val="center"/>
          </w:tcPr>
          <w:p w14:paraId="364EDD10" w14:textId="77777777" w:rsidR="009605AB" w:rsidRPr="009605AB" w:rsidRDefault="009605AB" w:rsidP="009605AB">
            <w:pPr>
              <w:contextualSpacing/>
              <w:rPr>
                <w:rFonts w:cstheme="minorHAnsi"/>
                <w:sz w:val="22"/>
                <w:szCs w:val="22"/>
                <w:highlight w:val="yellow"/>
              </w:rPr>
            </w:pPr>
            <w:r w:rsidRPr="00071081">
              <w:rPr>
                <w:rFonts w:cstheme="minorHAnsi"/>
                <w:sz w:val="22"/>
                <w:szCs w:val="22"/>
                <w:lang w:val="en-GB"/>
              </w:rPr>
              <w:t>Romanian National Registry of Hematopoietic Stem Cells Voluntary Donors – Romania</w:t>
            </w:r>
          </w:p>
        </w:tc>
        <w:tc>
          <w:tcPr>
            <w:tcW w:w="2551" w:type="dxa"/>
            <w:vAlign w:val="center"/>
          </w:tcPr>
          <w:p w14:paraId="0A8378FF" w14:textId="77777777" w:rsidR="009605AB" w:rsidRPr="009605AB" w:rsidRDefault="009605AB" w:rsidP="009605AB">
            <w:pPr>
              <w:contextualSpacing/>
              <w:rPr>
                <w:rFonts w:cstheme="minorHAnsi"/>
                <w:sz w:val="22"/>
                <w:szCs w:val="22"/>
                <w:highlight w:val="yellow"/>
                <w:lang w:val="en-GB"/>
              </w:rPr>
            </w:pPr>
            <w:r w:rsidRPr="00071081">
              <w:rPr>
                <w:rFonts w:cstheme="minorHAnsi"/>
                <w:sz w:val="22"/>
                <w:szCs w:val="22"/>
                <w:lang w:val="en-GB"/>
              </w:rPr>
              <w:t>Aurora Dragomiristeanu</w:t>
            </w:r>
          </w:p>
        </w:tc>
      </w:tr>
      <w:tr w:rsidR="002E695B" w:rsidRPr="001D747C" w14:paraId="1899BF2E" w14:textId="77777777" w:rsidTr="00930EBC">
        <w:trPr>
          <w:trHeight w:val="57"/>
        </w:trPr>
        <w:tc>
          <w:tcPr>
            <w:tcW w:w="1555" w:type="dxa"/>
            <w:vMerge w:val="restart"/>
            <w:shd w:val="clear" w:color="auto" w:fill="DFE3E5" w:themeFill="background2"/>
            <w:vAlign w:val="center"/>
          </w:tcPr>
          <w:p w14:paraId="631AAFD8" w14:textId="77777777" w:rsidR="002E695B" w:rsidRPr="001D747C" w:rsidRDefault="002E695B" w:rsidP="002E695B">
            <w:pPr>
              <w:contextualSpacing/>
              <w:rPr>
                <w:rFonts w:cstheme="minorHAnsi"/>
                <w:b/>
                <w:sz w:val="22"/>
                <w:szCs w:val="22"/>
                <w:lang w:val="en-GB"/>
              </w:rPr>
            </w:pPr>
            <w:r>
              <w:rPr>
                <w:rFonts w:cstheme="minorHAnsi"/>
                <w:b/>
                <w:sz w:val="22"/>
                <w:szCs w:val="22"/>
                <w:lang w:val="en-GB"/>
              </w:rPr>
              <w:t>Collaborating</w:t>
            </w:r>
            <w:r w:rsidRPr="001D747C">
              <w:rPr>
                <w:rFonts w:cstheme="minorHAnsi"/>
                <w:b/>
                <w:sz w:val="22"/>
                <w:szCs w:val="22"/>
                <w:lang w:val="en-GB"/>
              </w:rPr>
              <w:t xml:space="preserve"> Partners</w:t>
            </w:r>
          </w:p>
          <w:p w14:paraId="11D8E47D" w14:textId="77777777" w:rsidR="002E695B" w:rsidRPr="001D747C" w:rsidRDefault="002E695B" w:rsidP="002E695B">
            <w:pPr>
              <w:contextualSpacing/>
              <w:rPr>
                <w:rFonts w:cstheme="minorHAnsi"/>
                <w:b/>
                <w:sz w:val="22"/>
                <w:szCs w:val="22"/>
                <w:lang w:val="en-GB"/>
              </w:rPr>
            </w:pPr>
            <w:r w:rsidRPr="001D747C">
              <w:rPr>
                <w:rFonts w:cstheme="minorHAnsi"/>
                <w:b/>
                <w:sz w:val="22"/>
                <w:szCs w:val="22"/>
                <w:lang w:val="en-GB"/>
              </w:rPr>
              <w:t xml:space="preserve">&amp; </w:t>
            </w:r>
          </w:p>
          <w:p w14:paraId="48C23BEB" w14:textId="77777777" w:rsidR="002E695B" w:rsidRPr="001D747C" w:rsidRDefault="002E695B" w:rsidP="002E695B">
            <w:pPr>
              <w:contextualSpacing/>
              <w:rPr>
                <w:rFonts w:cstheme="minorHAnsi"/>
                <w:b/>
                <w:sz w:val="22"/>
                <w:szCs w:val="22"/>
                <w:lang w:val="en-GB"/>
              </w:rPr>
            </w:pPr>
            <w:r w:rsidRPr="001D747C">
              <w:rPr>
                <w:rFonts w:cstheme="minorHAnsi"/>
                <w:b/>
                <w:sz w:val="22"/>
                <w:szCs w:val="22"/>
                <w:lang w:val="en-GB"/>
              </w:rPr>
              <w:t>Invited Experts</w:t>
            </w:r>
          </w:p>
        </w:tc>
        <w:tc>
          <w:tcPr>
            <w:tcW w:w="5244" w:type="dxa"/>
            <w:vAlign w:val="center"/>
          </w:tcPr>
          <w:p w14:paraId="5E817C2A" w14:textId="50EB2397" w:rsidR="002E695B" w:rsidRPr="009605AB" w:rsidRDefault="002E695B" w:rsidP="002E695B">
            <w:pPr>
              <w:contextualSpacing/>
              <w:rPr>
                <w:rFonts w:cstheme="minorHAnsi"/>
                <w:sz w:val="22"/>
                <w:szCs w:val="22"/>
                <w:highlight w:val="yellow"/>
                <w:lang w:val="en-GB"/>
              </w:rPr>
            </w:pPr>
            <w:r w:rsidRPr="005D6521">
              <w:rPr>
                <w:rFonts w:cstheme="minorHAnsi"/>
                <w:sz w:val="22"/>
                <w:szCs w:val="22"/>
                <w:lang w:val="en-GB"/>
              </w:rPr>
              <w:t>European Eye Bank Association (EEBA)</w:t>
            </w:r>
          </w:p>
        </w:tc>
        <w:tc>
          <w:tcPr>
            <w:tcW w:w="2551" w:type="dxa"/>
            <w:vAlign w:val="center"/>
          </w:tcPr>
          <w:p w14:paraId="7BCD0D96" w14:textId="77777777" w:rsidR="002E695B" w:rsidRDefault="002E695B" w:rsidP="002E695B">
            <w:pPr>
              <w:contextualSpacing/>
              <w:rPr>
                <w:rFonts w:cstheme="minorHAnsi"/>
                <w:sz w:val="22"/>
                <w:szCs w:val="22"/>
                <w:lang w:val="es-ES"/>
              </w:rPr>
            </w:pPr>
            <w:r w:rsidRPr="005D6521">
              <w:rPr>
                <w:rFonts w:cstheme="minorHAnsi"/>
                <w:sz w:val="22"/>
                <w:szCs w:val="22"/>
                <w:lang w:val="es-ES"/>
              </w:rPr>
              <w:t>Andrea Gareiss-Lok</w:t>
            </w:r>
          </w:p>
          <w:p w14:paraId="28853046" w14:textId="048F2C0E" w:rsidR="002E695B" w:rsidRPr="009605AB" w:rsidRDefault="002E695B" w:rsidP="002E695B">
            <w:pPr>
              <w:contextualSpacing/>
              <w:rPr>
                <w:rFonts w:cstheme="minorHAnsi"/>
                <w:sz w:val="22"/>
                <w:szCs w:val="22"/>
                <w:highlight w:val="yellow"/>
                <w:lang w:val="en-GB"/>
              </w:rPr>
            </w:pPr>
            <w:r w:rsidRPr="00C861C6">
              <w:rPr>
                <w:rFonts w:cstheme="minorHAnsi"/>
                <w:sz w:val="22"/>
                <w:szCs w:val="22"/>
                <w:lang w:val="es-ES"/>
              </w:rPr>
              <w:t>Henning Thomasen</w:t>
            </w:r>
          </w:p>
        </w:tc>
      </w:tr>
      <w:tr w:rsidR="002E695B" w:rsidRPr="00F514B8" w14:paraId="2FD06074" w14:textId="77777777" w:rsidTr="00930EBC">
        <w:trPr>
          <w:trHeight w:val="57"/>
        </w:trPr>
        <w:tc>
          <w:tcPr>
            <w:tcW w:w="1555" w:type="dxa"/>
            <w:vMerge/>
            <w:shd w:val="clear" w:color="auto" w:fill="DFE3E5" w:themeFill="background2"/>
            <w:vAlign w:val="center"/>
          </w:tcPr>
          <w:p w14:paraId="097748AF" w14:textId="77777777" w:rsidR="002E695B" w:rsidRPr="00A67D38" w:rsidRDefault="002E695B" w:rsidP="002E695B">
            <w:pPr>
              <w:contextualSpacing/>
              <w:rPr>
                <w:rFonts w:cstheme="minorHAnsi"/>
                <w:b/>
                <w:sz w:val="22"/>
                <w:szCs w:val="22"/>
                <w:lang w:val="sv-SE"/>
                <w:rPrChange w:id="63" w:author="Tähtiharju Sari" w:date="2020-05-15T08:22:00Z">
                  <w:rPr>
                    <w:rFonts w:cstheme="minorHAnsi"/>
                    <w:b/>
                    <w:sz w:val="22"/>
                    <w:szCs w:val="22"/>
                    <w:lang w:val="en-GB"/>
                  </w:rPr>
                </w:rPrChange>
              </w:rPr>
            </w:pPr>
          </w:p>
        </w:tc>
        <w:tc>
          <w:tcPr>
            <w:tcW w:w="5244" w:type="dxa"/>
            <w:vAlign w:val="center"/>
          </w:tcPr>
          <w:p w14:paraId="402C0F6E" w14:textId="77777777" w:rsidR="002E695B" w:rsidRPr="009605AB" w:rsidRDefault="002E695B" w:rsidP="002E695B">
            <w:pPr>
              <w:contextualSpacing/>
              <w:rPr>
                <w:rFonts w:cstheme="minorHAnsi"/>
                <w:sz w:val="22"/>
                <w:szCs w:val="22"/>
                <w:highlight w:val="yellow"/>
                <w:lang w:val="en-GB"/>
              </w:rPr>
            </w:pPr>
            <w:r w:rsidRPr="00BF61DD">
              <w:rPr>
                <w:rFonts w:cstheme="minorHAnsi"/>
                <w:sz w:val="22"/>
                <w:szCs w:val="22"/>
                <w:lang w:val="en-GB"/>
              </w:rPr>
              <w:t>European Society of Human Reproduction and Embryology (ESHRE)</w:t>
            </w:r>
          </w:p>
        </w:tc>
        <w:tc>
          <w:tcPr>
            <w:tcW w:w="2551" w:type="dxa"/>
            <w:vAlign w:val="center"/>
          </w:tcPr>
          <w:p w14:paraId="05D74DCD" w14:textId="3B2B7B6F" w:rsidR="002E695B" w:rsidRPr="009605AB" w:rsidRDefault="002E695B" w:rsidP="002E695B">
            <w:pPr>
              <w:contextualSpacing/>
              <w:rPr>
                <w:rFonts w:cstheme="minorHAnsi"/>
                <w:sz w:val="22"/>
                <w:szCs w:val="22"/>
                <w:highlight w:val="yellow"/>
                <w:lang w:val="de-DE"/>
              </w:rPr>
            </w:pPr>
            <w:r w:rsidRPr="00BF61DD">
              <w:rPr>
                <w:rFonts w:cstheme="minorHAnsi"/>
                <w:sz w:val="22"/>
                <w:szCs w:val="22"/>
                <w:lang w:val="de-DE"/>
              </w:rPr>
              <w:t>Nathalie Vermeulen</w:t>
            </w:r>
          </w:p>
        </w:tc>
      </w:tr>
      <w:tr w:rsidR="002E695B" w:rsidRPr="001D747C" w14:paraId="544203F2" w14:textId="77777777" w:rsidTr="00930EBC">
        <w:trPr>
          <w:trHeight w:val="57"/>
        </w:trPr>
        <w:tc>
          <w:tcPr>
            <w:tcW w:w="1555" w:type="dxa"/>
            <w:vMerge/>
            <w:shd w:val="clear" w:color="auto" w:fill="DFE3E5" w:themeFill="background2"/>
            <w:vAlign w:val="center"/>
          </w:tcPr>
          <w:p w14:paraId="681117B5" w14:textId="77777777" w:rsidR="002E695B" w:rsidRPr="001D747C" w:rsidRDefault="002E695B" w:rsidP="002E695B">
            <w:pPr>
              <w:contextualSpacing/>
              <w:rPr>
                <w:rFonts w:cstheme="minorHAnsi"/>
                <w:b/>
                <w:sz w:val="22"/>
                <w:szCs w:val="22"/>
                <w:lang w:val="de-DE"/>
              </w:rPr>
            </w:pPr>
          </w:p>
        </w:tc>
        <w:tc>
          <w:tcPr>
            <w:tcW w:w="5244" w:type="dxa"/>
            <w:vAlign w:val="center"/>
          </w:tcPr>
          <w:p w14:paraId="72C76539" w14:textId="77777777" w:rsidR="002E695B" w:rsidRPr="001D747C" w:rsidRDefault="002E695B" w:rsidP="002E695B">
            <w:pPr>
              <w:contextualSpacing/>
              <w:rPr>
                <w:rFonts w:cstheme="minorHAnsi"/>
                <w:sz w:val="22"/>
                <w:szCs w:val="22"/>
                <w:lang w:val="en-GB"/>
              </w:rPr>
            </w:pPr>
            <w:r w:rsidRPr="001D747C">
              <w:rPr>
                <w:rFonts w:cstheme="minorHAnsi"/>
                <w:sz w:val="22"/>
                <w:szCs w:val="22"/>
                <w:lang w:val="en-GB"/>
              </w:rPr>
              <w:t>Regea Cell and Tissue Center – BioMediTech – Finland</w:t>
            </w:r>
          </w:p>
        </w:tc>
        <w:tc>
          <w:tcPr>
            <w:tcW w:w="2551" w:type="dxa"/>
            <w:vAlign w:val="center"/>
          </w:tcPr>
          <w:p w14:paraId="6683402E" w14:textId="38F628A8" w:rsidR="002E695B" w:rsidRPr="001D747C" w:rsidRDefault="002E695B" w:rsidP="002E695B">
            <w:pPr>
              <w:contextualSpacing/>
              <w:rPr>
                <w:rFonts w:cstheme="minorHAnsi"/>
                <w:sz w:val="22"/>
                <w:szCs w:val="22"/>
                <w:lang w:val="en-GB"/>
              </w:rPr>
            </w:pPr>
            <w:r>
              <w:rPr>
                <w:rFonts w:cstheme="minorHAnsi"/>
                <w:sz w:val="22"/>
                <w:szCs w:val="22"/>
                <w:lang w:val="en-GB"/>
              </w:rPr>
              <w:t>Annika Hakamäki</w:t>
            </w:r>
          </w:p>
        </w:tc>
      </w:tr>
      <w:tr w:rsidR="002E695B" w:rsidRPr="001D747C" w14:paraId="06788B8D" w14:textId="77777777" w:rsidTr="00930EBC">
        <w:trPr>
          <w:trHeight w:val="57"/>
        </w:trPr>
        <w:tc>
          <w:tcPr>
            <w:tcW w:w="1555" w:type="dxa"/>
            <w:vMerge/>
            <w:shd w:val="clear" w:color="auto" w:fill="DFE3E5" w:themeFill="background2"/>
            <w:vAlign w:val="center"/>
          </w:tcPr>
          <w:p w14:paraId="02FCFACF" w14:textId="77777777" w:rsidR="002E695B" w:rsidRPr="001D747C" w:rsidRDefault="002E695B" w:rsidP="002E695B">
            <w:pPr>
              <w:contextualSpacing/>
              <w:rPr>
                <w:rFonts w:cstheme="minorHAnsi"/>
                <w:b/>
                <w:sz w:val="22"/>
                <w:szCs w:val="22"/>
                <w:lang w:val="en-GB"/>
              </w:rPr>
            </w:pPr>
          </w:p>
        </w:tc>
        <w:tc>
          <w:tcPr>
            <w:tcW w:w="5244" w:type="dxa"/>
            <w:vAlign w:val="center"/>
          </w:tcPr>
          <w:p w14:paraId="3E2E7F23" w14:textId="77777777" w:rsidR="002E695B" w:rsidRPr="001D747C" w:rsidRDefault="002E695B" w:rsidP="002E695B">
            <w:pPr>
              <w:contextualSpacing/>
              <w:rPr>
                <w:rFonts w:cstheme="minorHAnsi"/>
                <w:sz w:val="22"/>
                <w:szCs w:val="22"/>
                <w:lang w:val="en-GB"/>
              </w:rPr>
            </w:pPr>
            <w:r>
              <w:rPr>
                <w:rFonts w:cstheme="minorHAnsi"/>
                <w:sz w:val="22"/>
                <w:szCs w:val="22"/>
                <w:lang w:val="en-GB"/>
              </w:rPr>
              <w:t>Finnish Red Cross Blood Service</w:t>
            </w:r>
            <w:r w:rsidRPr="001D747C">
              <w:rPr>
                <w:rFonts w:cstheme="minorHAnsi"/>
                <w:sz w:val="22"/>
                <w:szCs w:val="22"/>
                <w:lang w:val="en-GB"/>
              </w:rPr>
              <w:t xml:space="preserve"> – Finland</w:t>
            </w:r>
          </w:p>
        </w:tc>
        <w:tc>
          <w:tcPr>
            <w:tcW w:w="2551" w:type="dxa"/>
            <w:vAlign w:val="center"/>
          </w:tcPr>
          <w:p w14:paraId="18D03471" w14:textId="6A586BD6" w:rsidR="002E695B" w:rsidRPr="001D747C" w:rsidRDefault="002E695B" w:rsidP="002E695B">
            <w:pPr>
              <w:contextualSpacing/>
              <w:rPr>
                <w:rFonts w:cstheme="minorHAnsi"/>
                <w:sz w:val="22"/>
                <w:szCs w:val="22"/>
                <w:lang w:val="en-GB"/>
              </w:rPr>
            </w:pPr>
            <w:r>
              <w:rPr>
                <w:rFonts w:cstheme="minorHAnsi"/>
                <w:sz w:val="22"/>
                <w:szCs w:val="22"/>
                <w:lang w:val="en-GB"/>
              </w:rPr>
              <w:t>Jaana Mättö</w:t>
            </w:r>
          </w:p>
        </w:tc>
      </w:tr>
      <w:tr w:rsidR="002E695B" w:rsidRPr="001D747C" w14:paraId="44E1B4E2" w14:textId="77777777" w:rsidTr="00930EBC">
        <w:trPr>
          <w:trHeight w:val="57"/>
        </w:trPr>
        <w:tc>
          <w:tcPr>
            <w:tcW w:w="1555" w:type="dxa"/>
            <w:vMerge/>
            <w:shd w:val="clear" w:color="auto" w:fill="DFE3E5" w:themeFill="background2"/>
            <w:vAlign w:val="center"/>
          </w:tcPr>
          <w:p w14:paraId="0AD51F9B" w14:textId="77777777" w:rsidR="002E695B" w:rsidRPr="001D747C" w:rsidRDefault="002E695B" w:rsidP="002E695B">
            <w:pPr>
              <w:contextualSpacing/>
              <w:rPr>
                <w:rFonts w:cstheme="minorHAnsi"/>
                <w:b/>
                <w:sz w:val="22"/>
                <w:szCs w:val="22"/>
                <w:lang w:val="en-GB"/>
              </w:rPr>
            </w:pPr>
          </w:p>
        </w:tc>
        <w:tc>
          <w:tcPr>
            <w:tcW w:w="5244" w:type="dxa"/>
            <w:vAlign w:val="center"/>
          </w:tcPr>
          <w:p w14:paraId="2D2A2938" w14:textId="05A716FA" w:rsidR="002E695B" w:rsidRDefault="002E695B" w:rsidP="002E695B">
            <w:pPr>
              <w:contextualSpacing/>
              <w:rPr>
                <w:rFonts w:cstheme="minorHAnsi"/>
                <w:sz w:val="22"/>
                <w:szCs w:val="22"/>
                <w:lang w:val="en-GB"/>
              </w:rPr>
            </w:pPr>
            <w:r>
              <w:rPr>
                <w:rFonts w:cstheme="minorHAnsi"/>
                <w:sz w:val="22"/>
                <w:szCs w:val="22"/>
                <w:lang w:val="en-GB"/>
              </w:rPr>
              <w:t>National Health Service</w:t>
            </w:r>
            <w:r w:rsidRPr="008816DF">
              <w:rPr>
                <w:rFonts w:cstheme="minorHAnsi"/>
                <w:sz w:val="22"/>
                <w:szCs w:val="22"/>
                <w:lang w:val="en-GB"/>
              </w:rPr>
              <w:t xml:space="preserve"> Blood and Transplant </w:t>
            </w:r>
            <w:r>
              <w:rPr>
                <w:rFonts w:cstheme="minorHAnsi"/>
                <w:sz w:val="22"/>
                <w:szCs w:val="22"/>
                <w:lang w:val="en-GB"/>
              </w:rPr>
              <w:t>(NHSBT) – United Kingdom</w:t>
            </w:r>
          </w:p>
        </w:tc>
        <w:tc>
          <w:tcPr>
            <w:tcW w:w="2551" w:type="dxa"/>
            <w:vAlign w:val="center"/>
          </w:tcPr>
          <w:p w14:paraId="206801D5" w14:textId="77777777" w:rsidR="002E695B" w:rsidRDefault="002E695B" w:rsidP="002E695B">
            <w:pPr>
              <w:contextualSpacing/>
              <w:rPr>
                <w:rFonts w:cstheme="minorHAnsi"/>
                <w:sz w:val="22"/>
                <w:szCs w:val="22"/>
                <w:lang w:val="en-GB"/>
              </w:rPr>
            </w:pPr>
            <w:r w:rsidRPr="008332EF">
              <w:rPr>
                <w:rFonts w:cstheme="minorHAnsi"/>
                <w:sz w:val="22"/>
                <w:szCs w:val="22"/>
                <w:lang w:val="en-GB"/>
              </w:rPr>
              <w:t>Sheila MacLennan</w:t>
            </w:r>
          </w:p>
          <w:p w14:paraId="457C1941" w14:textId="0B04888D" w:rsidR="002E695B" w:rsidRPr="00BD7C6A" w:rsidRDefault="002E695B" w:rsidP="002E695B">
            <w:pPr>
              <w:contextualSpacing/>
              <w:rPr>
                <w:rFonts w:cstheme="minorHAnsi"/>
                <w:sz w:val="22"/>
                <w:szCs w:val="22"/>
                <w:lang w:val="en-GB"/>
              </w:rPr>
            </w:pPr>
            <w:r>
              <w:rPr>
                <w:rFonts w:cstheme="minorHAnsi"/>
                <w:sz w:val="22"/>
                <w:szCs w:val="22"/>
                <w:lang w:val="en-GB"/>
              </w:rPr>
              <w:t>Joanne Sell</w:t>
            </w:r>
          </w:p>
        </w:tc>
      </w:tr>
      <w:tr w:rsidR="002E695B" w:rsidRPr="001D747C" w14:paraId="136577D0" w14:textId="77777777" w:rsidTr="00930EBC">
        <w:trPr>
          <w:trHeight w:val="57"/>
        </w:trPr>
        <w:tc>
          <w:tcPr>
            <w:tcW w:w="1555" w:type="dxa"/>
            <w:vMerge/>
            <w:shd w:val="clear" w:color="auto" w:fill="DFE3E5" w:themeFill="background2"/>
            <w:vAlign w:val="center"/>
          </w:tcPr>
          <w:p w14:paraId="1F801B8E" w14:textId="77777777" w:rsidR="002E695B" w:rsidRPr="001D747C" w:rsidRDefault="002E695B" w:rsidP="002E695B">
            <w:pPr>
              <w:contextualSpacing/>
              <w:rPr>
                <w:rFonts w:cstheme="minorHAnsi"/>
                <w:b/>
                <w:sz w:val="22"/>
                <w:szCs w:val="22"/>
                <w:lang w:val="en-GB"/>
              </w:rPr>
            </w:pPr>
          </w:p>
        </w:tc>
        <w:tc>
          <w:tcPr>
            <w:tcW w:w="5244" w:type="dxa"/>
            <w:vAlign w:val="center"/>
          </w:tcPr>
          <w:p w14:paraId="10ADC711" w14:textId="57A2C366" w:rsidR="002E695B" w:rsidRDefault="002E695B" w:rsidP="002E695B">
            <w:pPr>
              <w:contextualSpacing/>
              <w:rPr>
                <w:rFonts w:cstheme="minorHAnsi"/>
                <w:sz w:val="22"/>
                <w:szCs w:val="22"/>
                <w:lang w:val="en-GB"/>
              </w:rPr>
            </w:pPr>
            <w:r>
              <w:rPr>
                <w:rFonts w:cstheme="minorHAnsi"/>
                <w:sz w:val="22"/>
                <w:szCs w:val="22"/>
                <w:lang w:val="en-GB"/>
              </w:rPr>
              <w:t>Human Tissue Authority (HTA) – United Kingdom</w:t>
            </w:r>
          </w:p>
        </w:tc>
        <w:tc>
          <w:tcPr>
            <w:tcW w:w="2551" w:type="dxa"/>
            <w:vAlign w:val="center"/>
          </w:tcPr>
          <w:p w14:paraId="136BD209" w14:textId="77777777" w:rsidR="002E695B" w:rsidRDefault="002E695B" w:rsidP="002E695B">
            <w:pPr>
              <w:contextualSpacing/>
              <w:rPr>
                <w:rFonts w:cstheme="minorHAnsi"/>
                <w:sz w:val="22"/>
                <w:szCs w:val="22"/>
                <w:lang w:val="en-GB"/>
              </w:rPr>
            </w:pPr>
            <w:r w:rsidRPr="00BD7C6A">
              <w:rPr>
                <w:rFonts w:cstheme="minorHAnsi"/>
                <w:sz w:val="22"/>
                <w:szCs w:val="22"/>
                <w:lang w:val="en-GB"/>
              </w:rPr>
              <w:t>Amy Shackell</w:t>
            </w:r>
            <w:r>
              <w:rPr>
                <w:rFonts w:cstheme="minorHAnsi"/>
                <w:sz w:val="22"/>
                <w:szCs w:val="22"/>
                <w:lang w:val="en-GB"/>
              </w:rPr>
              <w:t xml:space="preserve"> </w:t>
            </w:r>
          </w:p>
          <w:p w14:paraId="75BA9EA8" w14:textId="326979A1" w:rsidR="002E695B" w:rsidRPr="00704EE9" w:rsidRDefault="002E695B" w:rsidP="002E695B">
            <w:pPr>
              <w:contextualSpacing/>
              <w:rPr>
                <w:rFonts w:cstheme="minorHAnsi"/>
                <w:sz w:val="22"/>
                <w:szCs w:val="22"/>
                <w:lang w:val="en-GB"/>
              </w:rPr>
            </w:pPr>
            <w:r w:rsidRPr="00367D91">
              <w:rPr>
                <w:rFonts w:cstheme="minorHAnsi"/>
                <w:sz w:val="22"/>
                <w:szCs w:val="22"/>
                <w:lang w:val="en-GB"/>
              </w:rPr>
              <w:t>Clare Wend-Hansen</w:t>
            </w:r>
          </w:p>
        </w:tc>
      </w:tr>
      <w:tr w:rsidR="002E695B" w:rsidRPr="001D747C" w14:paraId="5F52D1A2" w14:textId="77777777" w:rsidTr="00930EBC">
        <w:trPr>
          <w:trHeight w:val="57"/>
        </w:trPr>
        <w:tc>
          <w:tcPr>
            <w:tcW w:w="1555" w:type="dxa"/>
            <w:vMerge/>
            <w:shd w:val="clear" w:color="auto" w:fill="DFE3E5" w:themeFill="background2"/>
            <w:vAlign w:val="center"/>
          </w:tcPr>
          <w:p w14:paraId="598E520C" w14:textId="77777777" w:rsidR="002E695B" w:rsidRPr="001D747C" w:rsidRDefault="002E695B" w:rsidP="002E695B">
            <w:pPr>
              <w:contextualSpacing/>
              <w:rPr>
                <w:rFonts w:cstheme="minorHAnsi"/>
                <w:b/>
                <w:sz w:val="22"/>
                <w:szCs w:val="22"/>
                <w:lang w:val="en-GB"/>
              </w:rPr>
            </w:pPr>
          </w:p>
        </w:tc>
        <w:tc>
          <w:tcPr>
            <w:tcW w:w="5244" w:type="dxa"/>
            <w:vAlign w:val="center"/>
          </w:tcPr>
          <w:p w14:paraId="43EE8E8B" w14:textId="3629E735" w:rsidR="002E695B" w:rsidRPr="001D747C" w:rsidRDefault="002E695B" w:rsidP="002E695B">
            <w:pPr>
              <w:contextualSpacing/>
              <w:rPr>
                <w:rFonts w:cstheme="minorHAnsi"/>
                <w:sz w:val="22"/>
                <w:szCs w:val="22"/>
                <w:lang w:val="en-GB"/>
              </w:rPr>
            </w:pPr>
            <w:r>
              <w:rPr>
                <w:rFonts w:cstheme="minorHAnsi"/>
                <w:sz w:val="22"/>
                <w:szCs w:val="22"/>
                <w:lang w:val="en-GB"/>
              </w:rPr>
              <w:t xml:space="preserve">ETB-BISLIFE </w:t>
            </w:r>
            <w:r w:rsidRPr="001D747C">
              <w:rPr>
                <w:rFonts w:cstheme="minorHAnsi"/>
                <w:sz w:val="22"/>
                <w:szCs w:val="22"/>
                <w:lang w:val="en-GB"/>
              </w:rPr>
              <w:t>–</w:t>
            </w:r>
            <w:r>
              <w:rPr>
                <w:rFonts w:cstheme="minorHAnsi"/>
                <w:sz w:val="22"/>
                <w:szCs w:val="22"/>
                <w:lang w:val="en-GB"/>
              </w:rPr>
              <w:t xml:space="preserve"> The Netherlands</w:t>
            </w:r>
          </w:p>
        </w:tc>
        <w:tc>
          <w:tcPr>
            <w:tcW w:w="2551" w:type="dxa"/>
            <w:vAlign w:val="center"/>
          </w:tcPr>
          <w:p w14:paraId="31DF51D3" w14:textId="09D80D24" w:rsidR="002E695B" w:rsidRPr="001D747C" w:rsidRDefault="002E695B" w:rsidP="002E695B">
            <w:pPr>
              <w:contextualSpacing/>
              <w:rPr>
                <w:rFonts w:cstheme="minorHAnsi"/>
                <w:sz w:val="22"/>
                <w:szCs w:val="22"/>
                <w:lang w:val="en-GB"/>
              </w:rPr>
            </w:pPr>
            <w:r w:rsidRPr="00704EE9">
              <w:rPr>
                <w:rFonts w:cstheme="minorHAnsi"/>
                <w:sz w:val="22"/>
                <w:szCs w:val="22"/>
                <w:lang w:val="en-GB"/>
              </w:rPr>
              <w:t>Sjors van Kats</w:t>
            </w:r>
          </w:p>
        </w:tc>
      </w:tr>
      <w:tr w:rsidR="002E695B" w:rsidRPr="001D747C" w14:paraId="7D54E39F" w14:textId="77777777" w:rsidTr="00930EBC">
        <w:trPr>
          <w:trHeight w:val="57"/>
        </w:trPr>
        <w:tc>
          <w:tcPr>
            <w:tcW w:w="1555" w:type="dxa"/>
            <w:vMerge/>
            <w:shd w:val="clear" w:color="auto" w:fill="DFE3E5" w:themeFill="background2"/>
            <w:vAlign w:val="center"/>
          </w:tcPr>
          <w:p w14:paraId="2739D98C" w14:textId="77777777" w:rsidR="002E695B" w:rsidRPr="003936E2" w:rsidRDefault="002E695B" w:rsidP="002E695B">
            <w:pPr>
              <w:contextualSpacing/>
              <w:rPr>
                <w:rFonts w:cstheme="minorHAnsi"/>
                <w:b/>
                <w:sz w:val="22"/>
                <w:szCs w:val="22"/>
                <w:lang w:val="sv-SE"/>
              </w:rPr>
            </w:pPr>
          </w:p>
        </w:tc>
        <w:tc>
          <w:tcPr>
            <w:tcW w:w="5244" w:type="dxa"/>
            <w:vAlign w:val="center"/>
          </w:tcPr>
          <w:p w14:paraId="715BA2CD" w14:textId="3C248ED3" w:rsidR="002E695B" w:rsidRPr="001D747C" w:rsidRDefault="002E695B" w:rsidP="002E695B">
            <w:pPr>
              <w:contextualSpacing/>
              <w:rPr>
                <w:rFonts w:cstheme="minorHAnsi"/>
                <w:sz w:val="22"/>
                <w:szCs w:val="22"/>
                <w:lang w:val="en-GB"/>
              </w:rPr>
            </w:pPr>
            <w:r>
              <w:rPr>
                <w:rFonts w:cstheme="minorHAnsi"/>
                <w:sz w:val="22"/>
                <w:szCs w:val="22"/>
                <w:lang w:val="en-GB"/>
              </w:rPr>
              <w:t xml:space="preserve">Hôpital Henri-Mondor </w:t>
            </w:r>
            <w:r w:rsidRPr="005E6DEA">
              <w:rPr>
                <w:rFonts w:cstheme="minorHAnsi"/>
                <w:sz w:val="22"/>
                <w:szCs w:val="22"/>
                <w:lang w:val="pt-BR"/>
              </w:rPr>
              <w:t>– France</w:t>
            </w:r>
          </w:p>
        </w:tc>
        <w:tc>
          <w:tcPr>
            <w:tcW w:w="2551" w:type="dxa"/>
            <w:vAlign w:val="center"/>
          </w:tcPr>
          <w:p w14:paraId="63819598" w14:textId="42DCD354" w:rsidR="002E695B" w:rsidRPr="001D747C" w:rsidRDefault="002E695B" w:rsidP="002E695B">
            <w:pPr>
              <w:contextualSpacing/>
              <w:rPr>
                <w:rFonts w:cstheme="minorHAnsi"/>
                <w:sz w:val="22"/>
                <w:szCs w:val="22"/>
                <w:lang w:val="en-GB"/>
              </w:rPr>
            </w:pPr>
            <w:r w:rsidRPr="00801BA3">
              <w:rPr>
                <w:rFonts w:cstheme="minorHAnsi"/>
                <w:sz w:val="22"/>
                <w:szCs w:val="22"/>
                <w:lang w:val="en-GB"/>
              </w:rPr>
              <w:t>Dominique Challine</w:t>
            </w:r>
          </w:p>
        </w:tc>
      </w:tr>
      <w:tr w:rsidR="002E695B" w:rsidRPr="001D747C" w14:paraId="09C9194F" w14:textId="77777777" w:rsidTr="00930EBC">
        <w:trPr>
          <w:trHeight w:val="57"/>
        </w:trPr>
        <w:tc>
          <w:tcPr>
            <w:tcW w:w="1555" w:type="dxa"/>
            <w:vMerge/>
            <w:shd w:val="clear" w:color="auto" w:fill="DFE3E5" w:themeFill="background2"/>
            <w:vAlign w:val="center"/>
          </w:tcPr>
          <w:p w14:paraId="5C3E895D" w14:textId="77777777" w:rsidR="002E695B" w:rsidRPr="003936E2" w:rsidRDefault="002E695B" w:rsidP="002E695B">
            <w:pPr>
              <w:contextualSpacing/>
              <w:rPr>
                <w:rFonts w:cstheme="minorHAnsi"/>
                <w:b/>
                <w:sz w:val="22"/>
                <w:szCs w:val="22"/>
                <w:lang w:val="sv-SE"/>
              </w:rPr>
            </w:pPr>
          </w:p>
        </w:tc>
        <w:tc>
          <w:tcPr>
            <w:tcW w:w="5244" w:type="dxa"/>
            <w:vAlign w:val="center"/>
          </w:tcPr>
          <w:p w14:paraId="6628A2A1" w14:textId="0990AAE6" w:rsidR="002E695B" w:rsidRPr="001D747C" w:rsidRDefault="002E695B" w:rsidP="002E695B">
            <w:pPr>
              <w:contextualSpacing/>
              <w:rPr>
                <w:rFonts w:cstheme="minorHAnsi"/>
                <w:sz w:val="22"/>
                <w:szCs w:val="22"/>
                <w:lang w:val="en-GB"/>
              </w:rPr>
            </w:pPr>
            <w:r w:rsidRPr="001D747C">
              <w:rPr>
                <w:rFonts w:cstheme="minorHAnsi"/>
                <w:sz w:val="22"/>
                <w:szCs w:val="22"/>
                <w:lang w:val="en-GB"/>
              </w:rPr>
              <w:t>Invited Expert</w:t>
            </w:r>
            <w:r>
              <w:rPr>
                <w:rFonts w:cstheme="minorHAnsi"/>
                <w:sz w:val="22"/>
                <w:szCs w:val="22"/>
                <w:lang w:val="en-GB"/>
              </w:rPr>
              <w:t xml:space="preserve"> – United Kingdom</w:t>
            </w:r>
          </w:p>
        </w:tc>
        <w:tc>
          <w:tcPr>
            <w:tcW w:w="2551" w:type="dxa"/>
            <w:vAlign w:val="center"/>
          </w:tcPr>
          <w:p w14:paraId="3FF3DF44" w14:textId="5A267BDE" w:rsidR="002E695B" w:rsidRPr="001D747C" w:rsidRDefault="002E695B" w:rsidP="002E695B">
            <w:pPr>
              <w:contextualSpacing/>
              <w:rPr>
                <w:rFonts w:cstheme="minorHAnsi"/>
                <w:sz w:val="22"/>
                <w:szCs w:val="22"/>
                <w:lang w:val="en-GB"/>
              </w:rPr>
            </w:pPr>
            <w:r>
              <w:rPr>
                <w:rFonts w:cstheme="minorHAnsi"/>
                <w:sz w:val="22"/>
                <w:szCs w:val="22"/>
                <w:lang w:val="en-GB"/>
              </w:rPr>
              <w:t>Alan Kitchen</w:t>
            </w:r>
          </w:p>
        </w:tc>
      </w:tr>
      <w:tr w:rsidR="002E695B" w:rsidRPr="00F514B8" w14:paraId="7C13134B" w14:textId="77777777" w:rsidTr="00930EBC">
        <w:trPr>
          <w:trHeight w:val="57"/>
        </w:trPr>
        <w:tc>
          <w:tcPr>
            <w:tcW w:w="1555" w:type="dxa"/>
            <w:shd w:val="clear" w:color="auto" w:fill="DFE3E5" w:themeFill="background2"/>
            <w:vAlign w:val="center"/>
          </w:tcPr>
          <w:p w14:paraId="02DCAADE" w14:textId="77777777" w:rsidR="002E695B" w:rsidRPr="001D747C" w:rsidRDefault="002E695B" w:rsidP="002E695B">
            <w:pPr>
              <w:contextualSpacing/>
              <w:rPr>
                <w:rFonts w:cstheme="minorHAnsi"/>
                <w:b/>
                <w:sz w:val="22"/>
                <w:szCs w:val="22"/>
              </w:rPr>
            </w:pPr>
            <w:r>
              <w:rPr>
                <w:rFonts w:cstheme="minorHAnsi"/>
                <w:b/>
                <w:sz w:val="22"/>
                <w:szCs w:val="22"/>
                <w:lang w:val="en-GB"/>
              </w:rPr>
              <w:t xml:space="preserve">European Commission </w:t>
            </w:r>
            <w:r w:rsidRPr="001D747C">
              <w:rPr>
                <w:rFonts w:cstheme="minorHAnsi"/>
                <w:b/>
                <w:sz w:val="22"/>
                <w:szCs w:val="22"/>
                <w:lang w:val="en-GB"/>
              </w:rPr>
              <w:t xml:space="preserve">DG SANTE </w:t>
            </w:r>
          </w:p>
        </w:tc>
        <w:tc>
          <w:tcPr>
            <w:tcW w:w="5244" w:type="dxa"/>
            <w:vAlign w:val="center"/>
          </w:tcPr>
          <w:p w14:paraId="6693BED8" w14:textId="77777777" w:rsidR="002E695B" w:rsidRPr="001D747C" w:rsidRDefault="002E695B" w:rsidP="002E695B">
            <w:pPr>
              <w:contextualSpacing/>
              <w:rPr>
                <w:rFonts w:cstheme="minorHAnsi"/>
                <w:sz w:val="22"/>
                <w:szCs w:val="22"/>
                <w:lang w:val="en-GB"/>
              </w:rPr>
            </w:pPr>
            <w:r w:rsidRPr="001D747C">
              <w:rPr>
                <w:rFonts w:cstheme="minorHAnsi"/>
                <w:sz w:val="22"/>
                <w:szCs w:val="22"/>
                <w:lang w:val="en-GB"/>
              </w:rPr>
              <w:t>Unit D4 – Substances of Human Origin</w:t>
            </w:r>
          </w:p>
        </w:tc>
        <w:tc>
          <w:tcPr>
            <w:tcW w:w="2551" w:type="dxa"/>
            <w:vAlign w:val="center"/>
          </w:tcPr>
          <w:p w14:paraId="116F761E" w14:textId="77777777" w:rsidR="002E695B" w:rsidRPr="001D747C" w:rsidRDefault="002E695B" w:rsidP="002E695B">
            <w:pPr>
              <w:contextualSpacing/>
              <w:rPr>
                <w:rFonts w:cstheme="minorHAnsi"/>
                <w:sz w:val="22"/>
                <w:szCs w:val="22"/>
                <w:lang w:val="de-DE"/>
              </w:rPr>
            </w:pPr>
            <w:r w:rsidRPr="001D747C">
              <w:rPr>
                <w:rFonts w:cstheme="minorHAnsi"/>
                <w:sz w:val="22"/>
                <w:szCs w:val="22"/>
                <w:lang w:val="de-DE"/>
              </w:rPr>
              <w:t>Deirdre Fehily</w:t>
            </w:r>
          </w:p>
        </w:tc>
      </w:tr>
    </w:tbl>
    <w:p w14:paraId="786B0D9F" w14:textId="177C7B1B" w:rsidR="00F514B8" w:rsidRPr="00F514B8" w:rsidRDefault="00F514B8" w:rsidP="00F514B8">
      <w:pPr>
        <w:rPr>
          <w:lang w:val="de-DE"/>
        </w:rPr>
      </w:pPr>
    </w:p>
    <w:sectPr w:rsidR="00F514B8" w:rsidRPr="00F514B8" w:rsidSect="001B1BA1">
      <w:headerReference w:type="default" r:id="rId14"/>
      <w:footerReference w:type="default" r:id="rId15"/>
      <w:headerReference w:type="first" r:id="rId16"/>
      <w:footerReference w:type="first" r:id="rId17"/>
      <w:pgSz w:w="12240" w:h="15840"/>
      <w:pgMar w:top="1440" w:right="1440" w:bottom="1440" w:left="1440" w:header="720" w:footer="366"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Puomila Anu" w:date="2020-05-26T11:09:00Z" w:initials="PA">
    <w:p w14:paraId="145860B5" w14:textId="0E4C50E9" w:rsidR="009E2613" w:rsidRDefault="009E2613">
      <w:pPr>
        <w:pStyle w:val="CommentText"/>
      </w:pPr>
      <w:r>
        <w:rPr>
          <w:rStyle w:val="CommentReference"/>
        </w:rPr>
        <w:annotationRef/>
      </w:r>
      <w:r>
        <w:t xml:space="preserve">Can the experts help in filling in this column? If not (and the third column is almost empty), should this third column be removed? </w:t>
      </w:r>
    </w:p>
  </w:comment>
  <w:comment w:id="22" w:author="Puomila Anu" w:date="2019-12-04T18:31:00Z" w:initials="PA">
    <w:p w14:paraId="58FA4A9C" w14:textId="77777777" w:rsidR="009E2613" w:rsidRDefault="009E2613" w:rsidP="00611978">
      <w:pPr>
        <w:pStyle w:val="CommentText"/>
      </w:pPr>
      <w:r>
        <w:rPr>
          <w:rStyle w:val="CommentReference"/>
        </w:rPr>
        <w:annotationRef/>
      </w:r>
      <w:r>
        <w:t>All product and company names must be deleted in the end</w:t>
      </w:r>
    </w:p>
  </w:comment>
  <w:comment w:id="26" w:author="Järvinen Kristiina" w:date="2020-05-25T14:45:00Z" w:initials="JK">
    <w:p w14:paraId="20673010" w14:textId="406557BA" w:rsidR="009E2613" w:rsidRPr="009B1537" w:rsidRDefault="009E2613">
      <w:pPr>
        <w:pStyle w:val="CommentText"/>
      </w:pPr>
      <w:r>
        <w:rPr>
          <w:rStyle w:val="CommentReference"/>
        </w:rPr>
        <w:annotationRef/>
      </w:r>
      <w:r w:rsidRPr="009B1537">
        <w:t xml:space="preserve">Weblink broken/not found? </w:t>
      </w:r>
    </w:p>
    <w:p w14:paraId="74436EB9" w14:textId="06A458A6" w:rsidR="009E2613" w:rsidRPr="009B1537" w:rsidRDefault="009E2613">
      <w:pPr>
        <w:pStyle w:val="CommentText"/>
      </w:pPr>
      <w:r w:rsidRPr="009B1537">
        <w:t xml:space="preserve">EDQM website searched for “Validation of alternative microbiological methods” </w:t>
      </w:r>
      <w:r>
        <w:sym w:font="Wingdings" w:char="F0E0"/>
      </w:r>
      <w:r w:rsidRPr="009B1537">
        <w:t xml:space="preserve"> </w:t>
      </w:r>
      <w:r>
        <w:t>should provide a</w:t>
      </w:r>
      <w:r w:rsidRPr="009B1537">
        <w:t xml:space="preserve"> pdf </w:t>
      </w:r>
      <w:r>
        <w:t>file but instead informs</w:t>
      </w:r>
      <w:r w:rsidRPr="009B1537">
        <w:t xml:space="preserve"> </w:t>
      </w:r>
      <w:r>
        <w:t>“</w:t>
      </w:r>
      <w:r w:rsidRPr="009B1537">
        <w:t>Page not found</w:t>
      </w:r>
      <w:r>
        <w:t>”</w:t>
      </w:r>
    </w:p>
  </w:comment>
  <w:comment w:id="45" w:author="Puomila Anu" w:date="2020-05-20T08:41:00Z" w:initials="PA">
    <w:p w14:paraId="5219FA13" w14:textId="1E1682AA" w:rsidR="009E2613" w:rsidRDefault="009E2613" w:rsidP="00F06088">
      <w:pPr>
        <w:pStyle w:val="CommentText"/>
      </w:pPr>
      <w:r>
        <w:rPr>
          <w:rStyle w:val="CommentReference"/>
        </w:rPr>
        <w:annotationRef/>
      </w:r>
      <w:r>
        <w:t xml:space="preserve">The figure only contains tissues </w:t>
      </w:r>
      <w:r>
        <w:sym w:font="Wingdings" w:char="F0E0"/>
      </w:r>
      <w:r>
        <w:t xml:space="preserve"> how about blood and cells? If those cannot be included, we need to remove the figure as this guidance is for all BTC.</w:t>
      </w:r>
    </w:p>
  </w:comment>
  <w:comment w:id="48" w:author="Puomila Anu" w:date="2020-05-26T18:32:00Z" w:initials="PA">
    <w:p w14:paraId="3EE38D03" w14:textId="76AD8CEE" w:rsidR="009E2613" w:rsidRDefault="009E2613">
      <w:pPr>
        <w:pStyle w:val="CommentText"/>
      </w:pPr>
      <w:r>
        <w:rPr>
          <w:rStyle w:val="CommentReference"/>
        </w:rPr>
        <w:annotationRef/>
      </w:r>
      <w:r>
        <w:t>Does this list have a reference? (some of the experts wrote it</w:t>
      </w:r>
      <w:r w:rsidR="004252FC">
        <w:t>; where is it taken from?</w:t>
      </w:r>
      <w:r>
        <w:t>)</w:t>
      </w:r>
    </w:p>
  </w:comment>
  <w:comment w:id="52" w:author="Puomila Anu" w:date="2020-05-19T09:56:00Z" w:initials="PA">
    <w:p w14:paraId="3FB71913" w14:textId="3ED41728" w:rsidR="009E2613" w:rsidRDefault="009E2613">
      <w:pPr>
        <w:pStyle w:val="CommentText"/>
      </w:pPr>
      <w:r>
        <w:rPr>
          <w:rStyle w:val="CommentReference"/>
        </w:rPr>
        <w:annotationRef/>
      </w:r>
      <w:r>
        <w:t>Bibliography list needs to be checked later</w:t>
      </w:r>
    </w:p>
  </w:comment>
  <w:comment w:id="56" w:author="Puomila Anu" w:date="2020-05-26T12:07:00Z" w:initials="PA">
    <w:p w14:paraId="444775E7" w14:textId="5943A53C" w:rsidR="009E2613" w:rsidRDefault="009E2613">
      <w:pPr>
        <w:pStyle w:val="CommentText"/>
      </w:pPr>
      <w:r>
        <w:rPr>
          <w:rStyle w:val="CommentReference"/>
        </w:rPr>
        <w:annotationRef/>
      </w:r>
      <w:r>
        <w:t>Can we add this part?</w:t>
      </w:r>
    </w:p>
  </w:comment>
  <w:comment w:id="57" w:author="Puomila Anu" w:date="2020-05-26T12:16:00Z" w:initials="PA">
    <w:p w14:paraId="3999BC37" w14:textId="68671270" w:rsidR="009E2613" w:rsidRDefault="009E2613">
      <w:pPr>
        <w:pStyle w:val="CommentText"/>
      </w:pPr>
      <w:r>
        <w:rPr>
          <w:rStyle w:val="CommentReference"/>
        </w:rPr>
        <w:annotationRef/>
      </w:r>
      <w:r>
        <w:t>Needs to be added</w:t>
      </w:r>
    </w:p>
  </w:comment>
  <w:comment w:id="59" w:author="Puomila Anu" w:date="2020-05-25T12:56:00Z" w:initials="PA">
    <w:p w14:paraId="7C966647" w14:textId="5391BC04" w:rsidR="009E2613" w:rsidRDefault="009E2613">
      <w:pPr>
        <w:pStyle w:val="CommentText"/>
      </w:pPr>
      <w:r>
        <w:rPr>
          <w:rStyle w:val="CommentReference"/>
        </w:rPr>
        <w:annotationRef/>
      </w:r>
      <w:r>
        <w:t>Needs to be completed or removed</w:t>
      </w:r>
    </w:p>
  </w:comment>
  <w:comment w:id="62" w:author="Puomila Anu" w:date="2020-05-25T12:52:00Z" w:initials="PA">
    <w:p w14:paraId="169A7EAF" w14:textId="0C89F0EC" w:rsidR="009E2613" w:rsidRDefault="009E2613">
      <w:pPr>
        <w:pStyle w:val="CommentText"/>
      </w:pPr>
      <w:r>
        <w:rPr>
          <w:rStyle w:val="CommentReference"/>
        </w:rPr>
        <w:annotationRef/>
      </w:r>
      <w:r>
        <w:t>Needs to be completed! At least those who attended the WP7 technical meeting on 27.2.2020 are on the list. Some who have participated in conference calls of sub-groups 1,2,4,5 only are still missing and need 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5860B5" w15:done="0"/>
  <w15:commentEx w15:paraId="58FA4A9C" w15:done="0"/>
  <w15:commentEx w15:paraId="74436EB9" w15:done="0"/>
  <w15:commentEx w15:paraId="5219FA13" w15:done="0"/>
  <w15:commentEx w15:paraId="3EE38D03" w15:done="0"/>
  <w15:commentEx w15:paraId="3FB71913" w15:done="0"/>
  <w15:commentEx w15:paraId="444775E7" w15:done="0"/>
  <w15:commentEx w15:paraId="3999BC37" w15:done="0"/>
  <w15:commentEx w15:paraId="7C966647" w15:done="0"/>
  <w15:commentEx w15:paraId="169A7E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7E4F4F" w16cid:durableId="202D06AA"/>
  <w16cid:commentId w16cid:paraId="538BCF6C" w16cid:durableId="202D02B4"/>
  <w16cid:commentId w16cid:paraId="22C0565A" w16cid:durableId="202D06E6"/>
  <w16cid:commentId w16cid:paraId="36D382E9" w16cid:durableId="202D05EB"/>
  <w16cid:commentId w16cid:paraId="0C332FBA" w16cid:durableId="202D073D"/>
  <w16cid:commentId w16cid:paraId="705854D5" w16cid:durableId="202D07E5"/>
  <w16cid:commentId w16cid:paraId="3F372E69" w16cid:durableId="202CFF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EF4A7" w14:textId="77777777" w:rsidR="005676C9" w:rsidRDefault="005676C9">
      <w:r>
        <w:separator/>
      </w:r>
    </w:p>
    <w:p w14:paraId="108C7440" w14:textId="77777777" w:rsidR="005676C9" w:rsidRDefault="005676C9"/>
  </w:endnote>
  <w:endnote w:type="continuationSeparator" w:id="0">
    <w:p w14:paraId="01040AD3" w14:textId="77777777" w:rsidR="005676C9" w:rsidRDefault="005676C9">
      <w:r>
        <w:continuationSeparator/>
      </w:r>
    </w:p>
    <w:p w14:paraId="131FE465" w14:textId="77777777" w:rsidR="005676C9" w:rsidRDefault="00567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4" w:name="OLE_LINK1"/>
  <w:bookmarkStart w:id="65" w:name="OLE_LINK2"/>
  <w:bookmarkStart w:id="66" w:name="_Hlk516247358"/>
  <w:p w14:paraId="01718677" w14:textId="77777777" w:rsidR="009E2613" w:rsidRDefault="009E2613">
    <w:pPr>
      <w:pStyle w:val="Footer"/>
    </w:pPr>
    <w:r>
      <w:rPr>
        <w:noProof/>
        <w:lang w:val="fi-FI" w:eastAsia="fi-FI"/>
      </w:rPr>
      <mc:AlternateContent>
        <mc:Choice Requires="wps">
          <w:drawing>
            <wp:anchor distT="45720" distB="45720" distL="114300" distR="114300" simplePos="0" relativeHeight="251669504" behindDoc="0" locked="0" layoutInCell="1" allowOverlap="1" wp14:anchorId="49FC8C71" wp14:editId="78A49706">
              <wp:simplePos x="0" y="0"/>
              <wp:positionH relativeFrom="margin">
                <wp:posOffset>782320</wp:posOffset>
              </wp:positionH>
              <wp:positionV relativeFrom="paragraph">
                <wp:posOffset>-188595</wp:posOffset>
              </wp:positionV>
              <wp:extent cx="5313680" cy="3575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357505"/>
                      </a:xfrm>
                      <a:prstGeom prst="rect">
                        <a:avLst/>
                      </a:prstGeom>
                      <a:noFill/>
                      <a:ln w="9525">
                        <a:noFill/>
                        <a:miter lim="800000"/>
                        <a:headEnd/>
                        <a:tailEnd/>
                      </a:ln>
                    </wps:spPr>
                    <wps:txbx>
                      <w:txbxContent>
                        <w:sdt>
                          <w:sdtPr>
                            <w:rPr>
                              <w:i/>
                              <w:iCs/>
                              <w:sz w:val="10"/>
                              <w:szCs w:val="12"/>
                            </w:rPr>
                            <w:alias w:val="Title:"/>
                            <w:tag w:val="Title:"/>
                            <w:id w:val="741999344"/>
                            <w:dataBinding w:prefixMappings="xmlns:ns0='http://purl.org/dc/elements/1.1/' xmlns:ns1='http://schemas.openxmlformats.org/package/2006/metadata/core-properties' " w:xpath="/ns1:coreProperties[1]/ns1:keywords[1]" w:storeItemID="{6C3C8BC8-F283-45AE-878A-BAB7291924A1}"/>
                            <w:text/>
                          </w:sdtPr>
                          <w:sdtEndPr/>
                          <w:sdtContent>
                            <w:p w14:paraId="3E347B3E" w14:textId="77777777" w:rsidR="009E2613" w:rsidRPr="008D766B" w:rsidRDefault="009E2613" w:rsidP="006457AF">
                              <w:pPr>
                                <w:pStyle w:val="Footer"/>
                                <w:jc w:val="both"/>
                                <w:rPr>
                                  <w:i/>
                                  <w:iCs/>
                                  <w:sz w:val="10"/>
                                  <w:szCs w:val="12"/>
                                </w:rPr>
                              </w:pPr>
                              <w:r>
                                <w:rPr>
                                  <w:i/>
                                  <w:iCs/>
                                  <w:sz w:val="10"/>
                                  <w:szCs w:val="12"/>
                                </w:rPr>
                                <w:t>This report is part of the project/joint action ‘785269/GAPP’ which has received funding from the European Union’s Health Programme (2014-2020). The content of this report represents the views of the author only and is his/her sole responsibility; it can not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C8C71" id="_x0000_t202" coordsize="21600,21600" o:spt="202" path="m,l,21600r21600,l21600,xe">
              <v:stroke joinstyle="miter"/>
              <v:path gradientshapeok="t" o:connecttype="rect"/>
            </v:shapetype>
            <v:shape id="Text Box 2" o:spid="_x0000_s1026" type="#_x0000_t202" style="position:absolute;margin-left:61.6pt;margin-top:-14.85pt;width:418.4pt;height:28.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" filled="f" stroked="f">
              <v:textbox>
                <w:txbxContent>
                  <w:sdt>
                    <w:sdtPr>
                      <w:rPr>
                        <w:i/>
                        <w:iCs/>
                        <w:sz w:val="10"/>
                        <w:szCs w:val="12"/>
                      </w:rPr>
                      <w:alias w:val="Title:"/>
                      <w:tag w:val="Title:"/>
                      <w:id w:val="741999344"/>
                      <w:dataBinding w:prefixMappings="xmlns:ns0='http://purl.org/dc/elements/1.1/' xmlns:ns1='http://schemas.openxmlformats.org/package/2006/metadata/core-properties' " w:xpath="/ns1:coreProperties[1]/ns1:keywords[1]" w:storeItemID="{6C3C8BC8-F283-45AE-878A-BAB7291924A1}"/>
                      <w:text/>
                    </w:sdtPr>
                    <w:sdtContent>
                      <w:p w14:paraId="3E347B3E" w14:textId="77777777" w:rsidR="009E2613" w:rsidRPr="008D766B" w:rsidRDefault="009E2613" w:rsidP="006457AF">
                        <w:pPr>
                          <w:pStyle w:val="Footer"/>
                          <w:jc w:val="both"/>
                          <w:rPr>
                            <w:i/>
                            <w:iCs/>
                            <w:sz w:val="10"/>
                            <w:szCs w:val="12"/>
                          </w:rPr>
                        </w:pPr>
                        <w:r>
                          <w:rPr>
                            <w:i/>
                            <w:iCs/>
                            <w:sz w:val="10"/>
                            <w:szCs w:val="12"/>
                          </w:rPr>
                          <w:t xml:space="preserve">This report is part of the project/joint action ‘785269/GAPP’ which has received funding from the European Union’s Health </w:t>
                        </w:r>
                        <w:proofErr w:type="spellStart"/>
                        <w:r>
                          <w:rPr>
                            <w:i/>
                            <w:iCs/>
                            <w:sz w:val="10"/>
                            <w:szCs w:val="12"/>
                          </w:rPr>
                          <w:t>Programme</w:t>
                        </w:r>
                        <w:proofErr w:type="spellEnd"/>
                        <w:r>
                          <w:rPr>
                            <w:i/>
                            <w:iCs/>
                            <w:sz w:val="10"/>
                            <w:szCs w:val="12"/>
                          </w:rPr>
                          <w:t xml:space="preserve"> (2014-2020). The content of this report represents the views of the author only and is his/her sole responsibility; it </w:t>
                        </w:r>
                        <w:proofErr w:type="spellStart"/>
                        <w:r>
                          <w:rPr>
                            <w:i/>
                            <w:iCs/>
                            <w:sz w:val="10"/>
                            <w:szCs w:val="12"/>
                          </w:rPr>
                          <w:t>can not</w:t>
                        </w:r>
                        <w:proofErr w:type="spellEnd"/>
                        <w:r>
                          <w:rPr>
                            <w:i/>
                            <w:iCs/>
                            <w:sz w:val="10"/>
                            <w:szCs w:val="12"/>
                          </w:rPr>
                          <w:t xml:space="preserve">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w:t>
                        </w:r>
                      </w:p>
                    </w:sdtContent>
                  </w:sdt>
                </w:txbxContent>
              </v:textbox>
              <w10:wrap type="square" anchorx="margin"/>
            </v:shape>
          </w:pict>
        </mc:Fallback>
      </mc:AlternateContent>
    </w:r>
    <w:r>
      <w:rPr>
        <w:noProof/>
        <w:lang w:val="fi-FI" w:eastAsia="fi-FI"/>
      </w:rPr>
      <mc:AlternateContent>
        <mc:Choice Requires="wps">
          <w:drawing>
            <wp:anchor distT="45720" distB="45720" distL="114300" distR="114300" simplePos="0" relativeHeight="251673600" behindDoc="0" locked="0" layoutInCell="1" allowOverlap="1" wp14:anchorId="5D42C86C" wp14:editId="660FD231">
              <wp:simplePos x="0" y="0"/>
              <wp:positionH relativeFrom="column">
                <wp:posOffset>-528320</wp:posOffset>
              </wp:positionH>
              <wp:positionV relativeFrom="paragraph">
                <wp:posOffset>64135</wp:posOffset>
              </wp:positionV>
              <wp:extent cx="1228725" cy="2381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38125"/>
                      </a:xfrm>
                      <a:prstGeom prst="rect">
                        <a:avLst/>
                      </a:prstGeom>
                      <a:noFill/>
                      <a:ln w="9525">
                        <a:noFill/>
                        <a:miter lim="800000"/>
                        <a:headEnd/>
                        <a:tailEnd/>
                      </a:ln>
                    </wps:spPr>
                    <wps:txbx>
                      <w:txbxContent>
                        <w:p w14:paraId="17B21AC0" w14:textId="77777777" w:rsidR="009E2613" w:rsidRPr="00C00F1F" w:rsidRDefault="009E2613" w:rsidP="00C00F1F">
                          <w:pPr>
                            <w:jc w:val="center"/>
                            <w:rPr>
                              <w:color w:val="FFFFFF" w:themeColor="background1"/>
                              <w:sz w:val="12"/>
                              <w:szCs w:val="12"/>
                            </w:rPr>
                          </w:pPr>
                          <w:r w:rsidRPr="00C00F1F">
                            <w:rPr>
                              <w:color w:val="FFFFFF" w:themeColor="background1"/>
                              <w:sz w:val="12"/>
                              <w:szCs w:val="12"/>
                            </w:rPr>
                            <w:t>GAPP JA | Deliverable 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2C86C" id="_x0000_s1027" type="#_x0000_t202" style="position:absolute;margin-left:-41.6pt;margin-top:5.05pt;width:96.75pt;height:18.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" filled="f" stroked="f">
              <v:textbox>
                <w:txbxContent>
                  <w:p w14:paraId="17B21AC0" w14:textId="77777777" w:rsidR="009E2613" w:rsidRPr="00C00F1F" w:rsidRDefault="009E2613" w:rsidP="00C00F1F">
                    <w:pPr>
                      <w:jc w:val="center"/>
                      <w:rPr>
                        <w:color w:val="FFFFFF" w:themeColor="background1"/>
                        <w:sz w:val="12"/>
                        <w:szCs w:val="12"/>
                      </w:rPr>
                    </w:pPr>
                    <w:r w:rsidRPr="00C00F1F">
                      <w:rPr>
                        <w:color w:val="FFFFFF" w:themeColor="background1"/>
                        <w:sz w:val="12"/>
                        <w:szCs w:val="12"/>
                      </w:rPr>
                      <w:t>GAPP JA | Deliverable 0.0</w:t>
                    </w:r>
                  </w:p>
                </w:txbxContent>
              </v:textbox>
            </v:shape>
          </w:pict>
        </mc:Fallback>
      </mc:AlternateContent>
    </w:r>
    <w:r>
      <w:rPr>
        <w:noProof/>
        <w:lang w:val="fi-FI" w:eastAsia="fi-FI"/>
      </w:rPr>
      <w:drawing>
        <wp:anchor distT="0" distB="0" distL="114300" distR="114300" simplePos="0" relativeHeight="251657214" behindDoc="1" locked="0" layoutInCell="1" allowOverlap="1" wp14:anchorId="07FF7E6A" wp14:editId="6FA16F76">
          <wp:simplePos x="0" y="0"/>
          <wp:positionH relativeFrom="column">
            <wp:posOffset>-447675</wp:posOffset>
          </wp:positionH>
          <wp:positionV relativeFrom="paragraph">
            <wp:posOffset>-176212</wp:posOffset>
          </wp:positionV>
          <wp:extent cx="6858000" cy="4191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419100"/>
                  </a:xfrm>
                  <a:prstGeom prst="rect">
                    <a:avLst/>
                  </a:prstGeom>
                  <a:noFill/>
                  <a:ln>
                    <a:noFill/>
                  </a:ln>
                </pic:spPr>
              </pic:pic>
            </a:graphicData>
          </a:graphic>
        </wp:anchor>
      </w:drawing>
    </w:r>
    <w:r>
      <w:rPr>
        <w:noProof/>
        <w:lang w:val="fi-FI" w:eastAsia="fi-FI"/>
      </w:rPr>
      <mc:AlternateContent>
        <mc:Choice Requires="wps">
          <w:drawing>
            <wp:anchor distT="45720" distB="45720" distL="114300" distR="114300" simplePos="0" relativeHeight="251671552" behindDoc="0" locked="0" layoutInCell="1" allowOverlap="1" wp14:anchorId="1F3E0299" wp14:editId="28F65D75">
              <wp:simplePos x="0" y="0"/>
              <wp:positionH relativeFrom="column">
                <wp:posOffset>6028690</wp:posOffset>
              </wp:positionH>
              <wp:positionV relativeFrom="paragraph">
                <wp:posOffset>-187325</wp:posOffset>
              </wp:positionV>
              <wp:extent cx="348615" cy="25082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50825"/>
                      </a:xfrm>
                      <a:prstGeom prst="rect">
                        <a:avLst/>
                      </a:prstGeom>
                      <a:noFill/>
                      <a:ln w="9525">
                        <a:noFill/>
                        <a:miter lim="800000"/>
                        <a:headEnd/>
                        <a:tailEnd/>
                      </a:ln>
                    </wps:spPr>
                    <wps:txbx>
                      <w:txbxContent>
                        <w:p w14:paraId="229A39E9" w14:textId="429995B2" w:rsidR="009E2613" w:rsidRPr="00A46D4C" w:rsidRDefault="005676C9" w:rsidP="006457AF">
                          <w:pPr>
                            <w:pStyle w:val="Footer"/>
                            <w:jc w:val="right"/>
                            <w:rPr>
                              <w:color w:val="0070C0"/>
                              <w:sz w:val="20"/>
                            </w:rPr>
                          </w:pPr>
                          <w:sdt>
                            <w:sdtPr>
                              <w:rPr>
                                <w:color w:val="0070C0"/>
                                <w:sz w:val="20"/>
                              </w:rPr>
                              <w:id w:val="-1920784366"/>
                              <w:docPartObj>
                                <w:docPartGallery w:val="Page Numbers (Bottom of Page)"/>
                                <w:docPartUnique/>
                              </w:docPartObj>
                            </w:sdtPr>
                            <w:sdtEndPr>
                              <w:rPr>
                                <w:noProof/>
                              </w:rPr>
                            </w:sdtEndPr>
                            <w:sdtContent>
                              <w:r w:rsidR="009E2613" w:rsidRPr="00A46D4C">
                                <w:rPr>
                                  <w:color w:val="0070C0"/>
                                  <w:sz w:val="20"/>
                                </w:rPr>
                                <w:fldChar w:fldCharType="begin"/>
                              </w:r>
                              <w:r w:rsidR="009E2613" w:rsidRPr="00A46D4C">
                                <w:rPr>
                                  <w:color w:val="0070C0"/>
                                  <w:sz w:val="20"/>
                                </w:rPr>
                                <w:instrText xml:space="preserve"> PAGE   \* MERGEFORMAT </w:instrText>
                              </w:r>
                              <w:r w:rsidR="009E2613" w:rsidRPr="00A46D4C">
                                <w:rPr>
                                  <w:color w:val="0070C0"/>
                                  <w:sz w:val="20"/>
                                </w:rPr>
                                <w:fldChar w:fldCharType="separate"/>
                              </w:r>
                              <w:r w:rsidR="00D27F9D">
                                <w:rPr>
                                  <w:noProof/>
                                  <w:color w:val="0070C0"/>
                                  <w:sz w:val="20"/>
                                </w:rPr>
                                <w:t>12</w:t>
                              </w:r>
                              <w:r w:rsidR="009E2613" w:rsidRPr="00A46D4C">
                                <w:rPr>
                                  <w:noProof/>
                                  <w:color w:val="0070C0"/>
                                  <w:sz w:val="20"/>
                                </w:rPr>
                                <w:fldChar w:fldCharType="end"/>
                              </w:r>
                            </w:sdtContent>
                          </w:sdt>
                        </w:p>
                        <w:p w14:paraId="11AC75BE" w14:textId="77777777" w:rsidR="009E2613" w:rsidRPr="00A46D4C" w:rsidRDefault="009E2613">
                          <w:pPr>
                            <w:rPr>
                              <w:color w:val="0070C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E0299" id="_x0000_t202" coordsize="21600,21600" o:spt="202" path="m,l,21600r21600,l21600,xe">
              <v:stroke joinstyle="miter"/>
              <v:path gradientshapeok="t" o:connecttype="rect"/>
            </v:shapetype>
            <v:shape id="_x0000_s1028" type="#_x0000_t202" style="position:absolute;margin-left:474.7pt;margin-top:-14.75pt;width:27.45pt;height:1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" filled="f" stroked="f">
              <v:textbox>
                <w:txbxContent>
                  <w:p w14:paraId="229A39E9" w14:textId="429995B2" w:rsidR="009E2613" w:rsidRPr="00A46D4C" w:rsidRDefault="005676C9" w:rsidP="006457AF">
                    <w:pPr>
                      <w:pStyle w:val="Footer"/>
                      <w:jc w:val="right"/>
                      <w:rPr>
                        <w:color w:val="0070C0"/>
                        <w:sz w:val="20"/>
                      </w:rPr>
                    </w:pPr>
                    <w:sdt>
                      <w:sdtPr>
                        <w:rPr>
                          <w:color w:val="0070C0"/>
                          <w:sz w:val="20"/>
                        </w:rPr>
                        <w:id w:val="-1920784366"/>
                        <w:docPartObj>
                          <w:docPartGallery w:val="Page Numbers (Bottom of Page)"/>
                          <w:docPartUnique/>
                        </w:docPartObj>
                      </w:sdtPr>
                      <w:sdtEndPr>
                        <w:rPr>
                          <w:noProof/>
                        </w:rPr>
                      </w:sdtEndPr>
                      <w:sdtContent>
                        <w:r w:rsidR="009E2613" w:rsidRPr="00A46D4C">
                          <w:rPr>
                            <w:color w:val="0070C0"/>
                            <w:sz w:val="20"/>
                          </w:rPr>
                          <w:fldChar w:fldCharType="begin"/>
                        </w:r>
                        <w:r w:rsidR="009E2613" w:rsidRPr="00A46D4C">
                          <w:rPr>
                            <w:color w:val="0070C0"/>
                            <w:sz w:val="20"/>
                          </w:rPr>
                          <w:instrText xml:space="preserve"> PAGE   \* MERGEFORMAT </w:instrText>
                        </w:r>
                        <w:r w:rsidR="009E2613" w:rsidRPr="00A46D4C">
                          <w:rPr>
                            <w:color w:val="0070C0"/>
                            <w:sz w:val="20"/>
                          </w:rPr>
                          <w:fldChar w:fldCharType="separate"/>
                        </w:r>
                        <w:r w:rsidR="00D27F9D">
                          <w:rPr>
                            <w:noProof/>
                            <w:color w:val="0070C0"/>
                            <w:sz w:val="20"/>
                          </w:rPr>
                          <w:t>12</w:t>
                        </w:r>
                        <w:r w:rsidR="009E2613" w:rsidRPr="00A46D4C">
                          <w:rPr>
                            <w:noProof/>
                            <w:color w:val="0070C0"/>
                            <w:sz w:val="20"/>
                          </w:rPr>
                          <w:fldChar w:fldCharType="end"/>
                        </w:r>
                      </w:sdtContent>
                    </w:sdt>
                  </w:p>
                  <w:p w14:paraId="11AC75BE" w14:textId="77777777" w:rsidR="009E2613" w:rsidRPr="00A46D4C" w:rsidRDefault="009E2613">
                    <w:pPr>
                      <w:rPr>
                        <w:color w:val="0070C0"/>
                        <w:sz w:val="20"/>
                      </w:rPr>
                    </w:pPr>
                  </w:p>
                </w:txbxContent>
              </v:textbox>
              <w10:wrap type="square"/>
            </v:shape>
          </w:pict>
        </mc:Fallback>
      </mc:AlternateContent>
    </w:r>
    <w:r>
      <w:rPr>
        <w:noProof/>
        <w:lang w:val="fi-FI" w:eastAsia="fi-FI"/>
      </w:rPr>
      <w:drawing>
        <wp:anchor distT="0" distB="0" distL="114300" distR="114300" simplePos="0" relativeHeight="251658239" behindDoc="1" locked="0" layoutInCell="1" allowOverlap="1" wp14:anchorId="0E6C1BFC" wp14:editId="647A5B27">
          <wp:simplePos x="0" y="0"/>
          <wp:positionH relativeFrom="margin">
            <wp:posOffset>-438150</wp:posOffset>
          </wp:positionH>
          <wp:positionV relativeFrom="paragraph">
            <wp:posOffset>-282575</wp:posOffset>
          </wp:positionV>
          <wp:extent cx="1447800" cy="2921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292100"/>
                  </a:xfrm>
                  <a:prstGeom prst="rect">
                    <a:avLst/>
                  </a:prstGeom>
                  <a:noFill/>
                  <a:ln>
                    <a:noFill/>
                  </a:ln>
                </pic:spPr>
              </pic:pic>
            </a:graphicData>
          </a:graphic>
        </wp:anchor>
      </w:drawing>
    </w:r>
    <w:r>
      <w:softHyphen/>
    </w:r>
    <w:r>
      <w:softHyphen/>
    </w:r>
    <w:bookmarkEnd w:id="64"/>
    <w:bookmarkEnd w:id="65"/>
    <w:bookmarkEnd w:id="6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482A9" w14:textId="77777777" w:rsidR="009E2613" w:rsidRDefault="009E2613">
    <w:pPr>
      <w:pStyle w:val="Footer"/>
    </w:pPr>
    <w:r>
      <w:rPr>
        <w:noProof/>
        <w:lang w:val="fi-FI" w:eastAsia="fi-FI"/>
      </w:rPr>
      <w:drawing>
        <wp:anchor distT="0" distB="0" distL="114300" distR="114300" simplePos="0" relativeHeight="251680768" behindDoc="0" locked="0" layoutInCell="1" allowOverlap="1" wp14:anchorId="7447A2E5" wp14:editId="7B4121A6">
          <wp:simplePos x="0" y="0"/>
          <wp:positionH relativeFrom="margin">
            <wp:posOffset>-564078</wp:posOffset>
          </wp:positionH>
          <wp:positionV relativeFrom="paragraph">
            <wp:posOffset>-220873</wp:posOffset>
          </wp:positionV>
          <wp:extent cx="1389413" cy="292100"/>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920" cy="292207"/>
                  </a:xfrm>
                  <a:prstGeom prst="rect">
                    <a:avLst/>
                  </a:prstGeom>
                  <a:noFill/>
                  <a:ln>
                    <a:noFill/>
                  </a:ln>
                </pic:spPr>
              </pic:pic>
            </a:graphicData>
          </a:graphic>
        </wp:anchor>
      </w:drawing>
    </w:r>
    <w:r>
      <w:rPr>
        <w:noProof/>
        <w:lang w:val="fi-FI" w:eastAsia="fi-FI"/>
      </w:rPr>
      <mc:AlternateContent>
        <mc:Choice Requires="wps">
          <w:drawing>
            <wp:anchor distT="45720" distB="45720" distL="114300" distR="114300" simplePos="0" relativeHeight="251681792" behindDoc="0" locked="0" layoutInCell="1" allowOverlap="1" wp14:anchorId="0CB4E441" wp14:editId="12A54A56">
              <wp:simplePos x="0" y="0"/>
              <wp:positionH relativeFrom="margin">
                <wp:posOffset>807085</wp:posOffset>
              </wp:positionH>
              <wp:positionV relativeFrom="paragraph">
                <wp:posOffset>-191770</wp:posOffset>
              </wp:positionV>
              <wp:extent cx="5597525" cy="357505"/>
              <wp:effectExtent l="0" t="0" r="0" b="44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357505"/>
                      </a:xfrm>
                      <a:prstGeom prst="rect">
                        <a:avLst/>
                      </a:prstGeom>
                      <a:noFill/>
                      <a:ln w="9525">
                        <a:noFill/>
                        <a:miter lim="800000"/>
                        <a:headEnd/>
                        <a:tailEnd/>
                      </a:ln>
                    </wps:spPr>
                    <wps:txbx>
                      <w:txbxContent>
                        <w:sdt>
                          <w:sdtPr>
                            <w:rPr>
                              <w:i/>
                              <w:iCs/>
                              <w:sz w:val="10"/>
                              <w:szCs w:val="12"/>
                            </w:rPr>
                            <w:alias w:val="Title:"/>
                            <w:tag w:val="Title:"/>
                            <w:id w:val="-2036565635"/>
                            <w:dataBinding w:prefixMappings="xmlns:ns0='http://purl.org/dc/elements/1.1/' xmlns:ns1='http://schemas.openxmlformats.org/package/2006/metadata/core-properties' " w:xpath="/ns1:coreProperties[1]/ns1:keywords[1]" w:storeItemID="{6C3C8BC8-F283-45AE-878A-BAB7291924A1}"/>
                            <w:text/>
                          </w:sdtPr>
                          <w:sdtEndPr/>
                          <w:sdtContent>
                            <w:p w14:paraId="11B3CCB4" w14:textId="77777777" w:rsidR="009E2613" w:rsidRPr="008D766B" w:rsidRDefault="009E2613" w:rsidP="00966471">
                              <w:pPr>
                                <w:pStyle w:val="Footer"/>
                                <w:jc w:val="both"/>
                                <w:rPr>
                                  <w:i/>
                                  <w:iCs/>
                                  <w:sz w:val="10"/>
                                  <w:szCs w:val="12"/>
                                </w:rPr>
                              </w:pPr>
                              <w:r>
                                <w:rPr>
                                  <w:i/>
                                  <w:iCs/>
                                  <w:sz w:val="10"/>
                                  <w:szCs w:val="12"/>
                                </w:rPr>
                                <w:t>This report is part of the project/joint action ‘785269/GAPP’ which has received funding from the European Union’s Health Programme (2014-2020). The content of this report represents the views of the author only and is his/her sole responsibility; it can not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4E441" id="_x0000_t202" coordsize="21600,21600" o:spt="202" path="m,l,21600r21600,l21600,xe">
              <v:stroke joinstyle="miter"/>
              <v:path gradientshapeok="t" o:connecttype="rect"/>
            </v:shapetype>
            <v:shape id="_x0000_s1029" type="#_x0000_t202" style="position:absolute;margin-left:63.55pt;margin-top:-15.1pt;width:440.75pt;height:28.1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" filled="f" stroked="f">
              <v:textbox>
                <w:txbxContent>
                  <w:sdt>
                    <w:sdtPr>
                      <w:rPr>
                        <w:i/>
                        <w:iCs/>
                        <w:sz w:val="10"/>
                        <w:szCs w:val="12"/>
                      </w:rPr>
                      <w:alias w:val="Title:"/>
                      <w:tag w:val="Title:"/>
                      <w:id w:val="-2036565635"/>
                      <w:dataBinding w:prefixMappings="xmlns:ns0='http://purl.org/dc/elements/1.1/' xmlns:ns1='http://schemas.openxmlformats.org/package/2006/metadata/core-properties' " w:xpath="/ns1:coreProperties[1]/ns1:keywords[1]" w:storeItemID="{6C3C8BC8-F283-45AE-878A-BAB7291924A1}"/>
                      <w:text/>
                    </w:sdtPr>
                    <w:sdtContent>
                      <w:p w14:paraId="11B3CCB4" w14:textId="77777777" w:rsidR="009E2613" w:rsidRPr="008D766B" w:rsidRDefault="009E2613" w:rsidP="00966471">
                        <w:pPr>
                          <w:pStyle w:val="Footer"/>
                          <w:jc w:val="both"/>
                          <w:rPr>
                            <w:i/>
                            <w:iCs/>
                            <w:sz w:val="10"/>
                            <w:szCs w:val="12"/>
                          </w:rPr>
                        </w:pPr>
                        <w:r>
                          <w:rPr>
                            <w:i/>
                            <w:iCs/>
                            <w:sz w:val="10"/>
                            <w:szCs w:val="12"/>
                          </w:rPr>
                          <w:t xml:space="preserve">This report is part of the project/joint action ‘785269/GAPP’ which has received funding from the European Union’s Health </w:t>
                        </w:r>
                        <w:proofErr w:type="spellStart"/>
                        <w:r>
                          <w:rPr>
                            <w:i/>
                            <w:iCs/>
                            <w:sz w:val="10"/>
                            <w:szCs w:val="12"/>
                          </w:rPr>
                          <w:t>Programme</w:t>
                        </w:r>
                        <w:proofErr w:type="spellEnd"/>
                        <w:r>
                          <w:rPr>
                            <w:i/>
                            <w:iCs/>
                            <w:sz w:val="10"/>
                            <w:szCs w:val="12"/>
                          </w:rPr>
                          <w:t xml:space="preserve"> (2014-2020). The content of this report represents the views of the author only and is his/her sole responsibility; it </w:t>
                        </w:r>
                        <w:proofErr w:type="spellStart"/>
                        <w:r>
                          <w:rPr>
                            <w:i/>
                            <w:iCs/>
                            <w:sz w:val="10"/>
                            <w:szCs w:val="12"/>
                          </w:rPr>
                          <w:t>can not</w:t>
                        </w:r>
                        <w:proofErr w:type="spellEnd"/>
                        <w:r>
                          <w:rPr>
                            <w:i/>
                            <w:iCs/>
                            <w:sz w:val="10"/>
                            <w:szCs w:val="12"/>
                          </w:rPr>
                          <w:t xml:space="preserve">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w:t>
                        </w:r>
                      </w:p>
                    </w:sdtContent>
                  </w:sdt>
                </w:txbxContent>
              </v:textbox>
              <w10:wrap type="square" anchorx="margin"/>
            </v:shape>
          </w:pict>
        </mc:Fallback>
      </mc:AlternateContent>
    </w:r>
    <w:r>
      <w:rPr>
        <w:noProof/>
        <w:lang w:val="fi-FI" w:eastAsia="fi-FI"/>
      </w:rPr>
      <w:drawing>
        <wp:anchor distT="0" distB="0" distL="114300" distR="114300" simplePos="0" relativeHeight="251677696" behindDoc="1" locked="0" layoutInCell="1" allowOverlap="1" wp14:anchorId="6A218BF9" wp14:editId="2403BB48">
          <wp:simplePos x="0" y="0"/>
          <wp:positionH relativeFrom="column">
            <wp:posOffset>-570016</wp:posOffset>
          </wp:positionH>
          <wp:positionV relativeFrom="paragraph">
            <wp:posOffset>-173371</wp:posOffset>
          </wp:positionV>
          <wp:extent cx="6982691" cy="419100"/>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7377" cy="419381"/>
                  </a:xfrm>
                  <a:prstGeom prst="rect">
                    <a:avLst/>
                  </a:prstGeom>
                  <a:noFill/>
                  <a:ln>
                    <a:noFill/>
                  </a:ln>
                </pic:spPr>
              </pic:pic>
            </a:graphicData>
          </a:graphic>
        </wp:anchor>
      </w:drawing>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FEFCE" w14:textId="77777777" w:rsidR="005676C9" w:rsidRDefault="005676C9">
      <w:r>
        <w:separator/>
      </w:r>
    </w:p>
    <w:p w14:paraId="69BF7FFC" w14:textId="77777777" w:rsidR="005676C9" w:rsidRDefault="005676C9"/>
  </w:footnote>
  <w:footnote w:type="continuationSeparator" w:id="0">
    <w:p w14:paraId="2B8269C4" w14:textId="77777777" w:rsidR="005676C9" w:rsidRDefault="005676C9">
      <w:r>
        <w:continuationSeparator/>
      </w:r>
    </w:p>
    <w:p w14:paraId="45203E6C" w14:textId="77777777" w:rsidR="005676C9" w:rsidRDefault="005676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979DA" w14:textId="77777777" w:rsidR="009E2613" w:rsidRDefault="009E2613">
    <w:pPr>
      <w:pStyle w:val="Header"/>
    </w:pPr>
    <w:r>
      <w:rPr>
        <w:noProof/>
        <w:lang w:val="fi-FI" w:eastAsia="fi-FI"/>
      </w:rPr>
      <w:drawing>
        <wp:anchor distT="0" distB="0" distL="114300" distR="114300" simplePos="0" relativeHeight="251675648" behindDoc="0" locked="0" layoutInCell="1" allowOverlap="1" wp14:anchorId="7366F2BE" wp14:editId="4F7B586F">
          <wp:simplePos x="0" y="0"/>
          <wp:positionH relativeFrom="column">
            <wp:posOffset>5581650</wp:posOffset>
          </wp:positionH>
          <wp:positionV relativeFrom="paragraph">
            <wp:posOffset>-191770</wp:posOffset>
          </wp:positionV>
          <wp:extent cx="887730" cy="338455"/>
          <wp:effectExtent l="0" t="0" r="7620" b="444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730" cy="33845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D4D0A" w14:textId="77777777" w:rsidR="009E2613" w:rsidRDefault="009E2613">
    <w:pPr>
      <w:pStyle w:val="Header"/>
    </w:pPr>
    <w:r>
      <w:rPr>
        <w:noProof/>
        <w:lang w:val="fi-FI" w:eastAsia="fi-FI"/>
      </w:rPr>
      <mc:AlternateContent>
        <mc:Choice Requires="wpg">
          <w:drawing>
            <wp:anchor distT="0" distB="0" distL="114300" distR="114300" simplePos="0" relativeHeight="251656189" behindDoc="0" locked="1" layoutInCell="1" allowOverlap="1" wp14:anchorId="4507C162" wp14:editId="55929AC0">
              <wp:simplePos x="0" y="0"/>
              <wp:positionH relativeFrom="page">
                <wp:posOffset>352425</wp:posOffset>
              </wp:positionH>
              <wp:positionV relativeFrom="page">
                <wp:posOffset>457200</wp:posOffset>
              </wp:positionV>
              <wp:extent cx="225425" cy="9143365"/>
              <wp:effectExtent l="0" t="0" r="3175" b="635"/>
              <wp:wrapNone/>
              <wp:docPr id="1" name="Group 1" descr="Decorative sideb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425" cy="9143365"/>
                        <a:chOff x="0" y="0"/>
                        <a:chExt cx="228600" cy="9144000"/>
                      </a:xfrm>
                    </wpg:grpSpPr>
                    <wps:wsp>
                      <wps:cNvPr id="2" name="Rectangle 2"/>
                      <wps:cNvSpPr/>
                      <wps:spPr>
                        <a:xfrm>
                          <a:off x="0" y="0"/>
                          <a:ext cx="228600" cy="878205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a:spLocks noChangeAspect="1"/>
                      </wps:cNvSpPr>
                      <wps:spPr>
                        <a:xfrm>
                          <a:off x="0" y="8915400"/>
                          <a:ext cx="228600" cy="228600"/>
                        </a:xfrm>
                        <a:prstGeom prst="rect">
                          <a:avLst/>
                        </a:prstGeom>
                        <a:solidFill>
                          <a:srgbClr val="EC18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5BDBF0E" id="Group 1" o:spid="_x0000_s1026" alt="Decorative sidebar" style="position:absolute;margin-left:27.75pt;margin-top:36pt;width:17.75pt;height:719.95pt;z-index:251656189;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">
              <v:rect id="Rectangle 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" fillcolor="#00b0f0" stroked="f" strokeweight="1pt"/>
              <v:rect id="Rectangle 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" fillcolor="#ec1856" stroked="f" strokeweight="1pt">
                <v:path arrowok="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7F0E"/>
    <w:multiLevelType w:val="hybridMultilevel"/>
    <w:tmpl w:val="6F1E41C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BC8384C"/>
    <w:multiLevelType w:val="hybridMultilevel"/>
    <w:tmpl w:val="2FC05740"/>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C67C80"/>
    <w:multiLevelType w:val="hybridMultilevel"/>
    <w:tmpl w:val="C0B09D36"/>
    <w:lvl w:ilvl="0" w:tplc="9626BAB2">
      <w:start w:val="2"/>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4C15EE9"/>
    <w:multiLevelType w:val="multilevel"/>
    <w:tmpl w:val="CFA8094A"/>
    <w:lvl w:ilvl="0">
      <w:start w:val="5"/>
      <w:numFmt w:val="decimal"/>
      <w:lvlText w:val="%1."/>
      <w:lvlJc w:val="left"/>
      <w:pPr>
        <w:ind w:left="552" w:hanging="55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160" w:hanging="2520"/>
      </w:pPr>
      <w:rPr>
        <w:rFonts w:hint="default"/>
      </w:rPr>
    </w:lvl>
  </w:abstractNum>
  <w:abstractNum w:abstractNumId="4" w15:restartNumberingAfterBreak="0">
    <w:nsid w:val="16E62911"/>
    <w:multiLevelType w:val="hybridMultilevel"/>
    <w:tmpl w:val="4BC42300"/>
    <w:lvl w:ilvl="0" w:tplc="040B0001">
      <w:start w:val="1"/>
      <w:numFmt w:val="bullet"/>
      <w:lvlText w:val=""/>
      <w:lvlJc w:val="left"/>
      <w:pPr>
        <w:ind w:left="720" w:hanging="360"/>
      </w:pPr>
      <w:rPr>
        <w:rFonts w:ascii="Symbol" w:hAnsi="Symbol" w:hint="default"/>
      </w:rPr>
    </w:lvl>
    <w:lvl w:ilvl="1" w:tplc="040B0005">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7AA6367"/>
    <w:multiLevelType w:val="hybridMultilevel"/>
    <w:tmpl w:val="B52E3E68"/>
    <w:lvl w:ilvl="0" w:tplc="040B000F">
      <w:start w:val="1"/>
      <w:numFmt w:val="decimal"/>
      <w:lvlText w:val="%1."/>
      <w:lvlJc w:val="left"/>
      <w:pPr>
        <w:ind w:left="360" w:hanging="360"/>
      </w:pPr>
      <w:rPr>
        <w:rFonts w:hint="default"/>
      </w:rPr>
    </w:lvl>
    <w:lvl w:ilvl="1" w:tplc="014070E4">
      <w:start w:val="1"/>
      <w:numFmt w:val="lowerLetter"/>
      <w:lvlText w:val="%2."/>
      <w:lvlJc w:val="left"/>
      <w:pPr>
        <w:ind w:left="1080" w:hanging="360"/>
      </w:pPr>
      <w:rPr>
        <w:lang w:val="en-GB"/>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040511C"/>
    <w:multiLevelType w:val="multilevel"/>
    <w:tmpl w:val="ED6834A8"/>
    <w:lvl w:ilvl="0">
      <w:start w:val="2"/>
      <w:numFmt w:val="decimal"/>
      <w:lvlText w:val="%1."/>
      <w:lvlJc w:val="left"/>
      <w:pPr>
        <w:ind w:left="552" w:hanging="55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160" w:hanging="2520"/>
      </w:pPr>
      <w:rPr>
        <w:rFonts w:hint="default"/>
      </w:rPr>
    </w:lvl>
  </w:abstractNum>
  <w:abstractNum w:abstractNumId="7" w15:restartNumberingAfterBreak="0">
    <w:nsid w:val="32D66FC0"/>
    <w:multiLevelType w:val="hybridMultilevel"/>
    <w:tmpl w:val="CC067914"/>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35FF3F7F"/>
    <w:multiLevelType w:val="multilevel"/>
    <w:tmpl w:val="5CC44746"/>
    <w:lvl w:ilvl="0">
      <w:start w:val="6"/>
      <w:numFmt w:val="decimal"/>
      <w:lvlText w:val="%1."/>
      <w:lvlJc w:val="left"/>
      <w:pPr>
        <w:ind w:left="552" w:hanging="55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160" w:hanging="2520"/>
      </w:pPr>
      <w:rPr>
        <w:rFonts w:hint="default"/>
      </w:rPr>
    </w:lvl>
  </w:abstractNum>
  <w:abstractNum w:abstractNumId="9" w15:restartNumberingAfterBreak="0">
    <w:nsid w:val="365D3B71"/>
    <w:multiLevelType w:val="multilevel"/>
    <w:tmpl w:val="5366C3BE"/>
    <w:lvl w:ilvl="0">
      <w:start w:val="3"/>
      <w:numFmt w:val="decimal"/>
      <w:lvlText w:val="%1."/>
      <w:lvlJc w:val="left"/>
      <w:pPr>
        <w:ind w:left="552" w:hanging="55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160" w:hanging="2520"/>
      </w:pPr>
      <w:rPr>
        <w:rFonts w:hint="default"/>
      </w:rPr>
    </w:lvl>
  </w:abstractNum>
  <w:abstractNum w:abstractNumId="10" w15:restartNumberingAfterBreak="0">
    <w:nsid w:val="3C333E1D"/>
    <w:multiLevelType w:val="hybridMultilevel"/>
    <w:tmpl w:val="39C0D34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45FC0AC8"/>
    <w:multiLevelType w:val="hybridMultilevel"/>
    <w:tmpl w:val="2E8C3BDE"/>
    <w:lvl w:ilvl="0" w:tplc="08090005">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2" w15:restartNumberingAfterBreak="0">
    <w:nsid w:val="4C1C25B6"/>
    <w:multiLevelType w:val="hybridMultilevel"/>
    <w:tmpl w:val="97F2C836"/>
    <w:lvl w:ilvl="0" w:tplc="B58E9E2C">
      <w:start w:val="2"/>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CC85931"/>
    <w:multiLevelType w:val="hybridMultilevel"/>
    <w:tmpl w:val="031A7B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5B575B0F"/>
    <w:multiLevelType w:val="hybridMultilevel"/>
    <w:tmpl w:val="535092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CC23C93"/>
    <w:multiLevelType w:val="hybridMultilevel"/>
    <w:tmpl w:val="44E20CC6"/>
    <w:lvl w:ilvl="0" w:tplc="040B0001">
      <w:start w:val="1"/>
      <w:numFmt w:val="bullet"/>
      <w:lvlText w:val=""/>
      <w:lvlJc w:val="left"/>
      <w:pPr>
        <w:ind w:left="720" w:hanging="360"/>
      </w:pPr>
      <w:rPr>
        <w:rFonts w:ascii="Symbol" w:hAnsi="Symbol" w:hint="default"/>
      </w:rPr>
    </w:lvl>
    <w:lvl w:ilvl="1" w:tplc="040B0005">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F057EE2"/>
    <w:multiLevelType w:val="hybridMultilevel"/>
    <w:tmpl w:val="52560730"/>
    <w:lvl w:ilvl="0" w:tplc="601A38B2">
      <w:start w:val="1"/>
      <w:numFmt w:val="decimal"/>
      <w:lvlText w:val="(%1)"/>
      <w:lvlJc w:val="left"/>
      <w:pPr>
        <w:ind w:left="720" w:hanging="360"/>
      </w:pPr>
      <w:rPr>
        <w:rFonts w:cstheme="minorBidi" w:hint="default"/>
        <w:color w:val="000000"/>
        <w:sz w:val="2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41965A2"/>
    <w:multiLevelType w:val="hybridMultilevel"/>
    <w:tmpl w:val="65E0AA6E"/>
    <w:lvl w:ilvl="0" w:tplc="040B0001">
      <w:start w:val="1"/>
      <w:numFmt w:val="bullet"/>
      <w:lvlText w:val=""/>
      <w:lvlJc w:val="left"/>
      <w:pPr>
        <w:ind w:left="720" w:hanging="360"/>
      </w:pPr>
      <w:rPr>
        <w:rFonts w:ascii="Symbol" w:hAnsi="Symbol" w:hint="default"/>
      </w:rPr>
    </w:lvl>
    <w:lvl w:ilvl="1" w:tplc="040B0005">
      <w:start w:val="1"/>
      <w:numFmt w:val="bullet"/>
      <w:lvlText w:val=""/>
      <w:lvlJc w:val="left"/>
      <w:pPr>
        <w:ind w:left="1440" w:hanging="360"/>
      </w:pPr>
      <w:rPr>
        <w:rFonts w:ascii="Wingdings" w:hAnsi="Wingdings"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5361E83"/>
    <w:multiLevelType w:val="multilevel"/>
    <w:tmpl w:val="93BE4292"/>
    <w:lvl w:ilvl="0">
      <w:start w:val="4"/>
      <w:numFmt w:val="decimal"/>
      <w:lvlText w:val="%1."/>
      <w:lvlJc w:val="left"/>
      <w:pPr>
        <w:ind w:left="552" w:hanging="55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160" w:hanging="2520"/>
      </w:pPr>
      <w:rPr>
        <w:rFonts w:hint="default"/>
      </w:rPr>
    </w:lvl>
  </w:abstractNum>
  <w:abstractNum w:abstractNumId="20" w15:restartNumberingAfterBreak="0">
    <w:nsid w:val="6CD159E3"/>
    <w:multiLevelType w:val="hybridMultilevel"/>
    <w:tmpl w:val="9C4A6E8C"/>
    <w:lvl w:ilvl="0" w:tplc="FDAE9910">
      <w:start w:val="2"/>
      <w:numFmt w:val="bullet"/>
      <w:lvlText w:val="-"/>
      <w:lvlJc w:val="left"/>
      <w:pPr>
        <w:ind w:left="720" w:hanging="360"/>
      </w:pPr>
      <w:rPr>
        <w:rFonts w:ascii="Arial" w:eastAsia="Times New Roman" w:hAnsi="Arial" w:cs="Arial" w:hint="default"/>
        <w:color w:val="000000"/>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8"/>
  </w:num>
  <w:num w:numId="4">
    <w:abstractNumId w:val="5"/>
  </w:num>
  <w:num w:numId="5">
    <w:abstractNumId w:val="2"/>
  </w:num>
  <w:num w:numId="6">
    <w:abstractNumId w:val="17"/>
  </w:num>
  <w:num w:numId="7">
    <w:abstractNumId w:val="12"/>
  </w:num>
  <w:num w:numId="8">
    <w:abstractNumId w:val="20"/>
  </w:num>
  <w:num w:numId="9">
    <w:abstractNumId w:val="1"/>
  </w:num>
  <w:num w:numId="10">
    <w:abstractNumId w:val="16"/>
  </w:num>
  <w:num w:numId="11">
    <w:abstractNumId w:val="4"/>
  </w:num>
  <w:num w:numId="12">
    <w:abstractNumId w:val="11"/>
  </w:num>
  <w:num w:numId="13">
    <w:abstractNumId w:val="0"/>
  </w:num>
  <w:num w:numId="14">
    <w:abstractNumId w:val="6"/>
  </w:num>
  <w:num w:numId="15">
    <w:abstractNumId w:val="9"/>
  </w:num>
  <w:num w:numId="16">
    <w:abstractNumId w:val="19"/>
  </w:num>
  <w:num w:numId="17">
    <w:abstractNumId w:val="3"/>
  </w:num>
  <w:num w:numId="18">
    <w:abstractNumId w:val="8"/>
  </w:num>
  <w:num w:numId="19">
    <w:abstractNumId w:val="13"/>
  </w:num>
  <w:num w:numId="20">
    <w:abstractNumId w:val="15"/>
  </w:num>
  <w:num w:numId="21">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uomila Anu">
    <w15:presenceInfo w15:providerId="AD" w15:userId="S-1-5-21-448539723-602609370-1417001333-4090"/>
  </w15:person>
  <w15:person w15:author="Järvinen Kristiina">
    <w15:presenceInfo w15:providerId="AD" w15:userId="S-1-5-21-448539723-602609370-1417001333-11418"/>
  </w15:person>
  <w15:person w15:author="Tähtiharju Sari">
    <w15:presenceInfo w15:providerId="AD" w15:userId="S-1-5-21-448539723-602609370-1417001333-11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fi-FI" w:vendorID="64" w:dllVersion="131078" w:nlCheck="1" w:checkStyle="0"/>
  <w:activeWritingStyle w:appName="MSWord" w:lang="es-ES" w:vendorID="64" w:dllVersion="131078" w:nlCheck="1" w:checkStyle="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A1"/>
    <w:rsid w:val="00000047"/>
    <w:rsid w:val="000019DB"/>
    <w:rsid w:val="00001D6E"/>
    <w:rsid w:val="00002656"/>
    <w:rsid w:val="0000312D"/>
    <w:rsid w:val="0000340F"/>
    <w:rsid w:val="0000349B"/>
    <w:rsid w:val="0000699C"/>
    <w:rsid w:val="00010855"/>
    <w:rsid w:val="00011AA6"/>
    <w:rsid w:val="00013FD2"/>
    <w:rsid w:val="00014587"/>
    <w:rsid w:val="000155CA"/>
    <w:rsid w:val="000171A1"/>
    <w:rsid w:val="00017837"/>
    <w:rsid w:val="00021BE1"/>
    <w:rsid w:val="00021D23"/>
    <w:rsid w:val="00022001"/>
    <w:rsid w:val="00024884"/>
    <w:rsid w:val="000268F0"/>
    <w:rsid w:val="00031433"/>
    <w:rsid w:val="000315B7"/>
    <w:rsid w:val="0003263A"/>
    <w:rsid w:val="00033061"/>
    <w:rsid w:val="0003561C"/>
    <w:rsid w:val="00035AE5"/>
    <w:rsid w:val="00040782"/>
    <w:rsid w:val="00040CB2"/>
    <w:rsid w:val="000420A8"/>
    <w:rsid w:val="000426D2"/>
    <w:rsid w:val="00044317"/>
    <w:rsid w:val="00046512"/>
    <w:rsid w:val="00051B36"/>
    <w:rsid w:val="00052B32"/>
    <w:rsid w:val="00053FE9"/>
    <w:rsid w:val="00054214"/>
    <w:rsid w:val="00054DE5"/>
    <w:rsid w:val="00055BDF"/>
    <w:rsid w:val="00055D51"/>
    <w:rsid w:val="00056365"/>
    <w:rsid w:val="00056B7E"/>
    <w:rsid w:val="000605FD"/>
    <w:rsid w:val="000619EF"/>
    <w:rsid w:val="00061B01"/>
    <w:rsid w:val="00061C32"/>
    <w:rsid w:val="00061E18"/>
    <w:rsid w:val="00062293"/>
    <w:rsid w:val="000627F9"/>
    <w:rsid w:val="00063606"/>
    <w:rsid w:val="00064039"/>
    <w:rsid w:val="000664BB"/>
    <w:rsid w:val="00071081"/>
    <w:rsid w:val="000716B4"/>
    <w:rsid w:val="000729F2"/>
    <w:rsid w:val="00074A1B"/>
    <w:rsid w:val="00074A23"/>
    <w:rsid w:val="00074A92"/>
    <w:rsid w:val="00075479"/>
    <w:rsid w:val="00075E69"/>
    <w:rsid w:val="00081723"/>
    <w:rsid w:val="00082DF8"/>
    <w:rsid w:val="00083A23"/>
    <w:rsid w:val="00087C66"/>
    <w:rsid w:val="0009060C"/>
    <w:rsid w:val="00090EA8"/>
    <w:rsid w:val="000910E7"/>
    <w:rsid w:val="0009271A"/>
    <w:rsid w:val="00096B63"/>
    <w:rsid w:val="00097517"/>
    <w:rsid w:val="000A1E5D"/>
    <w:rsid w:val="000A2411"/>
    <w:rsid w:val="000A2F39"/>
    <w:rsid w:val="000A3A6E"/>
    <w:rsid w:val="000A3DE3"/>
    <w:rsid w:val="000A54B2"/>
    <w:rsid w:val="000A5673"/>
    <w:rsid w:val="000A5975"/>
    <w:rsid w:val="000A71A4"/>
    <w:rsid w:val="000A7C5F"/>
    <w:rsid w:val="000B029F"/>
    <w:rsid w:val="000B03EB"/>
    <w:rsid w:val="000B14E8"/>
    <w:rsid w:val="000B1527"/>
    <w:rsid w:val="000B5BCA"/>
    <w:rsid w:val="000B6109"/>
    <w:rsid w:val="000B6BE7"/>
    <w:rsid w:val="000B6DC1"/>
    <w:rsid w:val="000B7533"/>
    <w:rsid w:val="000C0983"/>
    <w:rsid w:val="000C0AAB"/>
    <w:rsid w:val="000C2F45"/>
    <w:rsid w:val="000C3B0B"/>
    <w:rsid w:val="000C505B"/>
    <w:rsid w:val="000C6CD2"/>
    <w:rsid w:val="000D08F4"/>
    <w:rsid w:val="000D0D3B"/>
    <w:rsid w:val="000D0FEC"/>
    <w:rsid w:val="000D3084"/>
    <w:rsid w:val="000D4376"/>
    <w:rsid w:val="000D4C20"/>
    <w:rsid w:val="000D5E92"/>
    <w:rsid w:val="000D6794"/>
    <w:rsid w:val="000D689E"/>
    <w:rsid w:val="000D6DB0"/>
    <w:rsid w:val="000E0EC1"/>
    <w:rsid w:val="000E159E"/>
    <w:rsid w:val="000E3CE4"/>
    <w:rsid w:val="000E6246"/>
    <w:rsid w:val="000E7282"/>
    <w:rsid w:val="000F0098"/>
    <w:rsid w:val="000F061E"/>
    <w:rsid w:val="000F2ED9"/>
    <w:rsid w:val="000F3C39"/>
    <w:rsid w:val="000F4FFE"/>
    <w:rsid w:val="000F5931"/>
    <w:rsid w:val="000F621F"/>
    <w:rsid w:val="000F6716"/>
    <w:rsid w:val="000F6A25"/>
    <w:rsid w:val="000F7057"/>
    <w:rsid w:val="00101700"/>
    <w:rsid w:val="0010243C"/>
    <w:rsid w:val="001024E5"/>
    <w:rsid w:val="00102B41"/>
    <w:rsid w:val="00103F33"/>
    <w:rsid w:val="0010427F"/>
    <w:rsid w:val="001054B1"/>
    <w:rsid w:val="001057AD"/>
    <w:rsid w:val="00107D7B"/>
    <w:rsid w:val="00110CF1"/>
    <w:rsid w:val="0011177E"/>
    <w:rsid w:val="00111B5F"/>
    <w:rsid w:val="0011204D"/>
    <w:rsid w:val="00113216"/>
    <w:rsid w:val="00113633"/>
    <w:rsid w:val="00114526"/>
    <w:rsid w:val="001149EB"/>
    <w:rsid w:val="00115194"/>
    <w:rsid w:val="00115B0E"/>
    <w:rsid w:val="0011709D"/>
    <w:rsid w:val="00120461"/>
    <w:rsid w:val="00121134"/>
    <w:rsid w:val="00121FE0"/>
    <w:rsid w:val="00122861"/>
    <w:rsid w:val="00122C56"/>
    <w:rsid w:val="00122CC1"/>
    <w:rsid w:val="00123C1F"/>
    <w:rsid w:val="00123DCF"/>
    <w:rsid w:val="0012412F"/>
    <w:rsid w:val="00125CBE"/>
    <w:rsid w:val="00127E1A"/>
    <w:rsid w:val="001308B4"/>
    <w:rsid w:val="001311D2"/>
    <w:rsid w:val="00133720"/>
    <w:rsid w:val="001340AD"/>
    <w:rsid w:val="0013415C"/>
    <w:rsid w:val="001341B6"/>
    <w:rsid w:val="001425A5"/>
    <w:rsid w:val="0014272E"/>
    <w:rsid w:val="001440A9"/>
    <w:rsid w:val="00144E2D"/>
    <w:rsid w:val="001474FE"/>
    <w:rsid w:val="00147ACC"/>
    <w:rsid w:val="001507D5"/>
    <w:rsid w:val="00153A0D"/>
    <w:rsid w:val="00154402"/>
    <w:rsid w:val="001558DB"/>
    <w:rsid w:val="001569F7"/>
    <w:rsid w:val="00157A65"/>
    <w:rsid w:val="00157F9F"/>
    <w:rsid w:val="001607BB"/>
    <w:rsid w:val="0016089E"/>
    <w:rsid w:val="0016296D"/>
    <w:rsid w:val="00162C45"/>
    <w:rsid w:val="001639B7"/>
    <w:rsid w:val="00165EC0"/>
    <w:rsid w:val="00166417"/>
    <w:rsid w:val="0016654F"/>
    <w:rsid w:val="0016688F"/>
    <w:rsid w:val="0016766D"/>
    <w:rsid w:val="001712DE"/>
    <w:rsid w:val="001717AB"/>
    <w:rsid w:val="00171C74"/>
    <w:rsid w:val="0017326B"/>
    <w:rsid w:val="00174860"/>
    <w:rsid w:val="00175649"/>
    <w:rsid w:val="00175D12"/>
    <w:rsid w:val="00175D2B"/>
    <w:rsid w:val="001804F7"/>
    <w:rsid w:val="001838FF"/>
    <w:rsid w:val="00184444"/>
    <w:rsid w:val="0018536B"/>
    <w:rsid w:val="00185744"/>
    <w:rsid w:val="0018750B"/>
    <w:rsid w:val="001901A3"/>
    <w:rsid w:val="001904EB"/>
    <w:rsid w:val="001912B2"/>
    <w:rsid w:val="001923BA"/>
    <w:rsid w:val="00193834"/>
    <w:rsid w:val="001939E4"/>
    <w:rsid w:val="00197100"/>
    <w:rsid w:val="001A1AB9"/>
    <w:rsid w:val="001A1DDD"/>
    <w:rsid w:val="001A1F8E"/>
    <w:rsid w:val="001A2940"/>
    <w:rsid w:val="001A3901"/>
    <w:rsid w:val="001A7718"/>
    <w:rsid w:val="001A7911"/>
    <w:rsid w:val="001B0C31"/>
    <w:rsid w:val="001B1612"/>
    <w:rsid w:val="001B1BA1"/>
    <w:rsid w:val="001B21CF"/>
    <w:rsid w:val="001B2DE7"/>
    <w:rsid w:val="001B34C5"/>
    <w:rsid w:val="001B39C9"/>
    <w:rsid w:val="001B39EB"/>
    <w:rsid w:val="001B4661"/>
    <w:rsid w:val="001B4698"/>
    <w:rsid w:val="001B6DE7"/>
    <w:rsid w:val="001B770C"/>
    <w:rsid w:val="001C0305"/>
    <w:rsid w:val="001C03E5"/>
    <w:rsid w:val="001C0DB9"/>
    <w:rsid w:val="001C1F1C"/>
    <w:rsid w:val="001C3BE3"/>
    <w:rsid w:val="001D1DFD"/>
    <w:rsid w:val="001D20D5"/>
    <w:rsid w:val="001D2873"/>
    <w:rsid w:val="001D3EE5"/>
    <w:rsid w:val="001D6AD1"/>
    <w:rsid w:val="001D78F2"/>
    <w:rsid w:val="001E075E"/>
    <w:rsid w:val="001E0D48"/>
    <w:rsid w:val="001E386C"/>
    <w:rsid w:val="001E4ECC"/>
    <w:rsid w:val="001E515E"/>
    <w:rsid w:val="001E61AF"/>
    <w:rsid w:val="001E6F54"/>
    <w:rsid w:val="001F0835"/>
    <w:rsid w:val="001F202E"/>
    <w:rsid w:val="001F340D"/>
    <w:rsid w:val="001F3868"/>
    <w:rsid w:val="001F39C8"/>
    <w:rsid w:val="00202C47"/>
    <w:rsid w:val="0020327E"/>
    <w:rsid w:val="00203C5B"/>
    <w:rsid w:val="00204354"/>
    <w:rsid w:val="0020483A"/>
    <w:rsid w:val="0020542A"/>
    <w:rsid w:val="00206C32"/>
    <w:rsid w:val="00207EAB"/>
    <w:rsid w:val="00211297"/>
    <w:rsid w:val="00211E89"/>
    <w:rsid w:val="002137B6"/>
    <w:rsid w:val="002143D4"/>
    <w:rsid w:val="00217B6F"/>
    <w:rsid w:val="0022059F"/>
    <w:rsid w:val="00221AAB"/>
    <w:rsid w:val="00225173"/>
    <w:rsid w:val="002256C2"/>
    <w:rsid w:val="002314B8"/>
    <w:rsid w:val="00231676"/>
    <w:rsid w:val="00232AF1"/>
    <w:rsid w:val="002333EE"/>
    <w:rsid w:val="00234317"/>
    <w:rsid w:val="00236D12"/>
    <w:rsid w:val="00237ECF"/>
    <w:rsid w:val="002402E2"/>
    <w:rsid w:val="002426F2"/>
    <w:rsid w:val="00242BC4"/>
    <w:rsid w:val="00242ED4"/>
    <w:rsid w:val="00242F8B"/>
    <w:rsid w:val="00243023"/>
    <w:rsid w:val="00243245"/>
    <w:rsid w:val="00243560"/>
    <w:rsid w:val="002461A3"/>
    <w:rsid w:val="002470DE"/>
    <w:rsid w:val="002478B3"/>
    <w:rsid w:val="002500A8"/>
    <w:rsid w:val="00250AB6"/>
    <w:rsid w:val="00250E59"/>
    <w:rsid w:val="002542A4"/>
    <w:rsid w:val="002545BE"/>
    <w:rsid w:val="002549E9"/>
    <w:rsid w:val="0025502A"/>
    <w:rsid w:val="0025700F"/>
    <w:rsid w:val="00260ED3"/>
    <w:rsid w:val="00262264"/>
    <w:rsid w:val="002630EA"/>
    <w:rsid w:val="0026531D"/>
    <w:rsid w:val="00265C27"/>
    <w:rsid w:val="00266130"/>
    <w:rsid w:val="00266270"/>
    <w:rsid w:val="00266C45"/>
    <w:rsid w:val="00266DCF"/>
    <w:rsid w:val="00270A08"/>
    <w:rsid w:val="002737D2"/>
    <w:rsid w:val="00273C08"/>
    <w:rsid w:val="00274368"/>
    <w:rsid w:val="002751CC"/>
    <w:rsid w:val="002758D5"/>
    <w:rsid w:val="00284EAB"/>
    <w:rsid w:val="00285464"/>
    <w:rsid w:val="00285BC7"/>
    <w:rsid w:val="002861AF"/>
    <w:rsid w:val="00290347"/>
    <w:rsid w:val="0029151C"/>
    <w:rsid w:val="00292119"/>
    <w:rsid w:val="00293F1D"/>
    <w:rsid w:val="0029594B"/>
    <w:rsid w:val="00296408"/>
    <w:rsid w:val="0029698B"/>
    <w:rsid w:val="00297848"/>
    <w:rsid w:val="002A0044"/>
    <w:rsid w:val="002A0C19"/>
    <w:rsid w:val="002A0FEC"/>
    <w:rsid w:val="002A28EB"/>
    <w:rsid w:val="002A2CD9"/>
    <w:rsid w:val="002A2E92"/>
    <w:rsid w:val="002A2F91"/>
    <w:rsid w:val="002A42DB"/>
    <w:rsid w:val="002A53B6"/>
    <w:rsid w:val="002A5897"/>
    <w:rsid w:val="002A5B52"/>
    <w:rsid w:val="002A5E6D"/>
    <w:rsid w:val="002A6890"/>
    <w:rsid w:val="002B02CA"/>
    <w:rsid w:val="002B073A"/>
    <w:rsid w:val="002B2241"/>
    <w:rsid w:val="002B2B36"/>
    <w:rsid w:val="002B2DC3"/>
    <w:rsid w:val="002B2F56"/>
    <w:rsid w:val="002B4535"/>
    <w:rsid w:val="002B5DF0"/>
    <w:rsid w:val="002B68D0"/>
    <w:rsid w:val="002C0A4A"/>
    <w:rsid w:val="002C276C"/>
    <w:rsid w:val="002C32E4"/>
    <w:rsid w:val="002C3491"/>
    <w:rsid w:val="002C58D6"/>
    <w:rsid w:val="002C7221"/>
    <w:rsid w:val="002D0AE0"/>
    <w:rsid w:val="002D11FA"/>
    <w:rsid w:val="002D186F"/>
    <w:rsid w:val="002D213E"/>
    <w:rsid w:val="002D24B2"/>
    <w:rsid w:val="002D297A"/>
    <w:rsid w:val="002D361B"/>
    <w:rsid w:val="002D5210"/>
    <w:rsid w:val="002D61CF"/>
    <w:rsid w:val="002E14E4"/>
    <w:rsid w:val="002E1729"/>
    <w:rsid w:val="002E266F"/>
    <w:rsid w:val="002E2B3C"/>
    <w:rsid w:val="002E2ECD"/>
    <w:rsid w:val="002E35FE"/>
    <w:rsid w:val="002E4161"/>
    <w:rsid w:val="002E5363"/>
    <w:rsid w:val="002E556C"/>
    <w:rsid w:val="002E5B2E"/>
    <w:rsid w:val="002E618E"/>
    <w:rsid w:val="002E622A"/>
    <w:rsid w:val="002E62EE"/>
    <w:rsid w:val="002E695B"/>
    <w:rsid w:val="002E792E"/>
    <w:rsid w:val="002F09A9"/>
    <w:rsid w:val="002F1C48"/>
    <w:rsid w:val="002F2CB6"/>
    <w:rsid w:val="002F58B5"/>
    <w:rsid w:val="002F6370"/>
    <w:rsid w:val="002F65A1"/>
    <w:rsid w:val="002F666D"/>
    <w:rsid w:val="002F7747"/>
    <w:rsid w:val="0030005F"/>
    <w:rsid w:val="00300770"/>
    <w:rsid w:val="00304108"/>
    <w:rsid w:val="00304E27"/>
    <w:rsid w:val="00305B7A"/>
    <w:rsid w:val="00305F20"/>
    <w:rsid w:val="0030661A"/>
    <w:rsid w:val="00306E66"/>
    <w:rsid w:val="003076B9"/>
    <w:rsid w:val="00307A06"/>
    <w:rsid w:val="00307AA9"/>
    <w:rsid w:val="00307D6D"/>
    <w:rsid w:val="00310801"/>
    <w:rsid w:val="00311842"/>
    <w:rsid w:val="00312336"/>
    <w:rsid w:val="00313BC8"/>
    <w:rsid w:val="0031420C"/>
    <w:rsid w:val="00314612"/>
    <w:rsid w:val="00314F36"/>
    <w:rsid w:val="003225C3"/>
    <w:rsid w:val="00324217"/>
    <w:rsid w:val="00326418"/>
    <w:rsid w:val="003301B5"/>
    <w:rsid w:val="003332CA"/>
    <w:rsid w:val="003337DB"/>
    <w:rsid w:val="00333C2E"/>
    <w:rsid w:val="003346A3"/>
    <w:rsid w:val="00334CA8"/>
    <w:rsid w:val="0033631F"/>
    <w:rsid w:val="003365E7"/>
    <w:rsid w:val="00336A9B"/>
    <w:rsid w:val="00340748"/>
    <w:rsid w:val="0034128C"/>
    <w:rsid w:val="0034187C"/>
    <w:rsid w:val="0034196C"/>
    <w:rsid w:val="00343904"/>
    <w:rsid w:val="00343D95"/>
    <w:rsid w:val="0034576D"/>
    <w:rsid w:val="00347414"/>
    <w:rsid w:val="00351D4C"/>
    <w:rsid w:val="00352E5F"/>
    <w:rsid w:val="003538A6"/>
    <w:rsid w:val="003545FB"/>
    <w:rsid w:val="00355415"/>
    <w:rsid w:val="00355F80"/>
    <w:rsid w:val="00363153"/>
    <w:rsid w:val="00363171"/>
    <w:rsid w:val="00363B6F"/>
    <w:rsid w:val="0036458C"/>
    <w:rsid w:val="00365D1A"/>
    <w:rsid w:val="00367407"/>
    <w:rsid w:val="00367D91"/>
    <w:rsid w:val="003707CF"/>
    <w:rsid w:val="00371D2E"/>
    <w:rsid w:val="003725A5"/>
    <w:rsid w:val="0037273B"/>
    <w:rsid w:val="00372A52"/>
    <w:rsid w:val="00372AF6"/>
    <w:rsid w:val="003761EF"/>
    <w:rsid w:val="00377C85"/>
    <w:rsid w:val="0038502B"/>
    <w:rsid w:val="00386052"/>
    <w:rsid w:val="003864E6"/>
    <w:rsid w:val="00387956"/>
    <w:rsid w:val="003904D7"/>
    <w:rsid w:val="00391931"/>
    <w:rsid w:val="00392013"/>
    <w:rsid w:val="003920C5"/>
    <w:rsid w:val="0039252B"/>
    <w:rsid w:val="00392EC5"/>
    <w:rsid w:val="00394CC8"/>
    <w:rsid w:val="00394D83"/>
    <w:rsid w:val="003951D3"/>
    <w:rsid w:val="0039586E"/>
    <w:rsid w:val="003962F9"/>
    <w:rsid w:val="00397002"/>
    <w:rsid w:val="003974E3"/>
    <w:rsid w:val="003A044C"/>
    <w:rsid w:val="003A1678"/>
    <w:rsid w:val="003A20EC"/>
    <w:rsid w:val="003A3325"/>
    <w:rsid w:val="003A445F"/>
    <w:rsid w:val="003A4FE1"/>
    <w:rsid w:val="003A5BF9"/>
    <w:rsid w:val="003A705D"/>
    <w:rsid w:val="003B0048"/>
    <w:rsid w:val="003B182F"/>
    <w:rsid w:val="003B305D"/>
    <w:rsid w:val="003B3DB3"/>
    <w:rsid w:val="003B59E7"/>
    <w:rsid w:val="003B5CFA"/>
    <w:rsid w:val="003C0801"/>
    <w:rsid w:val="003C1420"/>
    <w:rsid w:val="003C1532"/>
    <w:rsid w:val="003C5010"/>
    <w:rsid w:val="003C7CFD"/>
    <w:rsid w:val="003D0473"/>
    <w:rsid w:val="003D29EA"/>
    <w:rsid w:val="003D3232"/>
    <w:rsid w:val="003D34B5"/>
    <w:rsid w:val="003D3C63"/>
    <w:rsid w:val="003D50C6"/>
    <w:rsid w:val="003D67C3"/>
    <w:rsid w:val="003D7647"/>
    <w:rsid w:val="003E015E"/>
    <w:rsid w:val="003E0A6B"/>
    <w:rsid w:val="003E243B"/>
    <w:rsid w:val="003E3109"/>
    <w:rsid w:val="003E49F7"/>
    <w:rsid w:val="003E56D2"/>
    <w:rsid w:val="003E5F43"/>
    <w:rsid w:val="003E5F4F"/>
    <w:rsid w:val="003E6106"/>
    <w:rsid w:val="003E612A"/>
    <w:rsid w:val="003E727B"/>
    <w:rsid w:val="003F11EB"/>
    <w:rsid w:val="003F1A36"/>
    <w:rsid w:val="003F23DC"/>
    <w:rsid w:val="003F292D"/>
    <w:rsid w:val="003F3CC4"/>
    <w:rsid w:val="003F4D09"/>
    <w:rsid w:val="003F4E78"/>
    <w:rsid w:val="003F6641"/>
    <w:rsid w:val="003F66FA"/>
    <w:rsid w:val="003F6840"/>
    <w:rsid w:val="003F6B62"/>
    <w:rsid w:val="003F7181"/>
    <w:rsid w:val="0040159C"/>
    <w:rsid w:val="004045CD"/>
    <w:rsid w:val="004045DB"/>
    <w:rsid w:val="00407BB6"/>
    <w:rsid w:val="004120D0"/>
    <w:rsid w:val="0041218C"/>
    <w:rsid w:val="004146EC"/>
    <w:rsid w:val="00416BFF"/>
    <w:rsid w:val="004175F1"/>
    <w:rsid w:val="00417A19"/>
    <w:rsid w:val="00417F50"/>
    <w:rsid w:val="0042067E"/>
    <w:rsid w:val="00420FB6"/>
    <w:rsid w:val="00421567"/>
    <w:rsid w:val="004224CB"/>
    <w:rsid w:val="00422C79"/>
    <w:rsid w:val="00423608"/>
    <w:rsid w:val="00423EA7"/>
    <w:rsid w:val="00424F9B"/>
    <w:rsid w:val="004252FC"/>
    <w:rsid w:val="00425892"/>
    <w:rsid w:val="00427BEE"/>
    <w:rsid w:val="00431021"/>
    <w:rsid w:val="004318E5"/>
    <w:rsid w:val="00431E7A"/>
    <w:rsid w:val="00433162"/>
    <w:rsid w:val="004335DE"/>
    <w:rsid w:val="00433D39"/>
    <w:rsid w:val="00434379"/>
    <w:rsid w:val="004344A1"/>
    <w:rsid w:val="00436DDC"/>
    <w:rsid w:val="004371EF"/>
    <w:rsid w:val="00437EF3"/>
    <w:rsid w:val="00441B8C"/>
    <w:rsid w:val="0044261E"/>
    <w:rsid w:val="00442E34"/>
    <w:rsid w:val="00443ED9"/>
    <w:rsid w:val="00452E02"/>
    <w:rsid w:val="00453FF5"/>
    <w:rsid w:val="00454590"/>
    <w:rsid w:val="00455086"/>
    <w:rsid w:val="00457A19"/>
    <w:rsid w:val="004614D0"/>
    <w:rsid w:val="0046216A"/>
    <w:rsid w:val="00465BE6"/>
    <w:rsid w:val="00465FA2"/>
    <w:rsid w:val="00467D97"/>
    <w:rsid w:val="00471E0B"/>
    <w:rsid w:val="00472703"/>
    <w:rsid w:val="0047348A"/>
    <w:rsid w:val="00474746"/>
    <w:rsid w:val="00475D3E"/>
    <w:rsid w:val="00476C49"/>
    <w:rsid w:val="004772B4"/>
    <w:rsid w:val="00477E1D"/>
    <w:rsid w:val="00477EE0"/>
    <w:rsid w:val="0048080C"/>
    <w:rsid w:val="00480F1F"/>
    <w:rsid w:val="0048238D"/>
    <w:rsid w:val="004825F9"/>
    <w:rsid w:val="00483591"/>
    <w:rsid w:val="00483CF6"/>
    <w:rsid w:val="0048508E"/>
    <w:rsid w:val="004860EE"/>
    <w:rsid w:val="00486702"/>
    <w:rsid w:val="00486B8F"/>
    <w:rsid w:val="00486E19"/>
    <w:rsid w:val="0048726D"/>
    <w:rsid w:val="00490D27"/>
    <w:rsid w:val="00491054"/>
    <w:rsid w:val="00491403"/>
    <w:rsid w:val="00493D16"/>
    <w:rsid w:val="00496997"/>
    <w:rsid w:val="00496EBA"/>
    <w:rsid w:val="004A009C"/>
    <w:rsid w:val="004A09B6"/>
    <w:rsid w:val="004A1587"/>
    <w:rsid w:val="004A18A7"/>
    <w:rsid w:val="004A2315"/>
    <w:rsid w:val="004A4533"/>
    <w:rsid w:val="004A4AF7"/>
    <w:rsid w:val="004A5F5E"/>
    <w:rsid w:val="004A654F"/>
    <w:rsid w:val="004A7810"/>
    <w:rsid w:val="004A7CE8"/>
    <w:rsid w:val="004B184D"/>
    <w:rsid w:val="004B2912"/>
    <w:rsid w:val="004B2A26"/>
    <w:rsid w:val="004B2E1C"/>
    <w:rsid w:val="004B2F3E"/>
    <w:rsid w:val="004B2FFB"/>
    <w:rsid w:val="004B65A6"/>
    <w:rsid w:val="004C02FE"/>
    <w:rsid w:val="004C13FE"/>
    <w:rsid w:val="004C1C96"/>
    <w:rsid w:val="004C21CC"/>
    <w:rsid w:val="004C3FA3"/>
    <w:rsid w:val="004C52AB"/>
    <w:rsid w:val="004C68AB"/>
    <w:rsid w:val="004D000E"/>
    <w:rsid w:val="004D0E8A"/>
    <w:rsid w:val="004D11D5"/>
    <w:rsid w:val="004D175C"/>
    <w:rsid w:val="004D230F"/>
    <w:rsid w:val="004D2C88"/>
    <w:rsid w:val="004D3685"/>
    <w:rsid w:val="004D440C"/>
    <w:rsid w:val="004D444F"/>
    <w:rsid w:val="004D479C"/>
    <w:rsid w:val="004D4A01"/>
    <w:rsid w:val="004D4DF1"/>
    <w:rsid w:val="004D5282"/>
    <w:rsid w:val="004E0E20"/>
    <w:rsid w:val="004E170E"/>
    <w:rsid w:val="004E4106"/>
    <w:rsid w:val="004E4501"/>
    <w:rsid w:val="004E5463"/>
    <w:rsid w:val="004E7BF3"/>
    <w:rsid w:val="004F00CA"/>
    <w:rsid w:val="004F028D"/>
    <w:rsid w:val="004F0E9B"/>
    <w:rsid w:val="004F195E"/>
    <w:rsid w:val="004F2D74"/>
    <w:rsid w:val="004F3657"/>
    <w:rsid w:val="004F4314"/>
    <w:rsid w:val="004F4928"/>
    <w:rsid w:val="004F6677"/>
    <w:rsid w:val="0050082C"/>
    <w:rsid w:val="00500CDD"/>
    <w:rsid w:val="00501B6C"/>
    <w:rsid w:val="00501C29"/>
    <w:rsid w:val="00501D60"/>
    <w:rsid w:val="00502234"/>
    <w:rsid w:val="00503AED"/>
    <w:rsid w:val="00503DE5"/>
    <w:rsid w:val="00505663"/>
    <w:rsid w:val="00505EB5"/>
    <w:rsid w:val="00505F97"/>
    <w:rsid w:val="005060D9"/>
    <w:rsid w:val="00506963"/>
    <w:rsid w:val="00511DE8"/>
    <w:rsid w:val="0051253D"/>
    <w:rsid w:val="00513B97"/>
    <w:rsid w:val="00513FB0"/>
    <w:rsid w:val="00513FF3"/>
    <w:rsid w:val="005146C1"/>
    <w:rsid w:val="00515163"/>
    <w:rsid w:val="00515447"/>
    <w:rsid w:val="0051632F"/>
    <w:rsid w:val="00517586"/>
    <w:rsid w:val="005207AB"/>
    <w:rsid w:val="005215DE"/>
    <w:rsid w:val="00521930"/>
    <w:rsid w:val="00521A55"/>
    <w:rsid w:val="0052204E"/>
    <w:rsid w:val="00525982"/>
    <w:rsid w:val="00525ACD"/>
    <w:rsid w:val="00526587"/>
    <w:rsid w:val="00526899"/>
    <w:rsid w:val="005270EA"/>
    <w:rsid w:val="0053154B"/>
    <w:rsid w:val="00532E18"/>
    <w:rsid w:val="00533CCB"/>
    <w:rsid w:val="00535636"/>
    <w:rsid w:val="0053614B"/>
    <w:rsid w:val="005361CD"/>
    <w:rsid w:val="0054054E"/>
    <w:rsid w:val="00540837"/>
    <w:rsid w:val="005408E4"/>
    <w:rsid w:val="00541339"/>
    <w:rsid w:val="00542641"/>
    <w:rsid w:val="00542BB8"/>
    <w:rsid w:val="00542F37"/>
    <w:rsid w:val="00543F77"/>
    <w:rsid w:val="00544CD3"/>
    <w:rsid w:val="00546AA7"/>
    <w:rsid w:val="00547C1D"/>
    <w:rsid w:val="00547E56"/>
    <w:rsid w:val="0055121C"/>
    <w:rsid w:val="00552939"/>
    <w:rsid w:val="00553FE3"/>
    <w:rsid w:val="00555A3F"/>
    <w:rsid w:val="005567E1"/>
    <w:rsid w:val="0056195F"/>
    <w:rsid w:val="005642AF"/>
    <w:rsid w:val="005648D5"/>
    <w:rsid w:val="00565B07"/>
    <w:rsid w:val="0056751F"/>
    <w:rsid w:val="005676C9"/>
    <w:rsid w:val="00567AFB"/>
    <w:rsid w:val="00567B10"/>
    <w:rsid w:val="00571624"/>
    <w:rsid w:val="00571D84"/>
    <w:rsid w:val="005729BC"/>
    <w:rsid w:val="00573269"/>
    <w:rsid w:val="00573F78"/>
    <w:rsid w:val="00574515"/>
    <w:rsid w:val="00575899"/>
    <w:rsid w:val="00576480"/>
    <w:rsid w:val="00576940"/>
    <w:rsid w:val="0058428E"/>
    <w:rsid w:val="005844E7"/>
    <w:rsid w:val="0058620A"/>
    <w:rsid w:val="005866A3"/>
    <w:rsid w:val="00586A4B"/>
    <w:rsid w:val="00587A60"/>
    <w:rsid w:val="0059067F"/>
    <w:rsid w:val="005910B9"/>
    <w:rsid w:val="00592C6F"/>
    <w:rsid w:val="005941C1"/>
    <w:rsid w:val="005976EC"/>
    <w:rsid w:val="005A0ABE"/>
    <w:rsid w:val="005A0B08"/>
    <w:rsid w:val="005A14B8"/>
    <w:rsid w:val="005A1668"/>
    <w:rsid w:val="005A402B"/>
    <w:rsid w:val="005A54FA"/>
    <w:rsid w:val="005A71CE"/>
    <w:rsid w:val="005A7793"/>
    <w:rsid w:val="005B19A4"/>
    <w:rsid w:val="005B1BE3"/>
    <w:rsid w:val="005B23A5"/>
    <w:rsid w:val="005B2EAF"/>
    <w:rsid w:val="005B322B"/>
    <w:rsid w:val="005B3755"/>
    <w:rsid w:val="005B60C2"/>
    <w:rsid w:val="005B73A8"/>
    <w:rsid w:val="005C04D4"/>
    <w:rsid w:val="005C1C01"/>
    <w:rsid w:val="005C242A"/>
    <w:rsid w:val="005C2B26"/>
    <w:rsid w:val="005C3505"/>
    <w:rsid w:val="005C39BC"/>
    <w:rsid w:val="005C76E8"/>
    <w:rsid w:val="005D322B"/>
    <w:rsid w:val="005D3710"/>
    <w:rsid w:val="005D5606"/>
    <w:rsid w:val="005D6310"/>
    <w:rsid w:val="005D6521"/>
    <w:rsid w:val="005E1E64"/>
    <w:rsid w:val="005E306B"/>
    <w:rsid w:val="005E38AC"/>
    <w:rsid w:val="005E42D4"/>
    <w:rsid w:val="005E4DCC"/>
    <w:rsid w:val="005E50F9"/>
    <w:rsid w:val="005E5ECD"/>
    <w:rsid w:val="005E62F0"/>
    <w:rsid w:val="005E6454"/>
    <w:rsid w:val="005E68D9"/>
    <w:rsid w:val="005E6E1B"/>
    <w:rsid w:val="005F0AD9"/>
    <w:rsid w:val="005F3737"/>
    <w:rsid w:val="005F5268"/>
    <w:rsid w:val="005F6DD0"/>
    <w:rsid w:val="005F7BCC"/>
    <w:rsid w:val="00604E7E"/>
    <w:rsid w:val="00605519"/>
    <w:rsid w:val="00606879"/>
    <w:rsid w:val="00607E20"/>
    <w:rsid w:val="006104A2"/>
    <w:rsid w:val="00611978"/>
    <w:rsid w:val="00611D10"/>
    <w:rsid w:val="00611ECB"/>
    <w:rsid w:val="006121F7"/>
    <w:rsid w:val="00612837"/>
    <w:rsid w:val="00613960"/>
    <w:rsid w:val="00613F56"/>
    <w:rsid w:val="00614517"/>
    <w:rsid w:val="006146BE"/>
    <w:rsid w:val="0061705D"/>
    <w:rsid w:val="00620A9D"/>
    <w:rsid w:val="00621534"/>
    <w:rsid w:val="00621C30"/>
    <w:rsid w:val="006229B0"/>
    <w:rsid w:val="006236F0"/>
    <w:rsid w:val="00626320"/>
    <w:rsid w:val="0062639F"/>
    <w:rsid w:val="0062683C"/>
    <w:rsid w:val="006310F3"/>
    <w:rsid w:val="00631A87"/>
    <w:rsid w:val="006328E7"/>
    <w:rsid w:val="00633FBC"/>
    <w:rsid w:val="00634024"/>
    <w:rsid w:val="00634EA6"/>
    <w:rsid w:val="00635766"/>
    <w:rsid w:val="00636116"/>
    <w:rsid w:val="00637205"/>
    <w:rsid w:val="006400D7"/>
    <w:rsid w:val="00640776"/>
    <w:rsid w:val="00641AB4"/>
    <w:rsid w:val="00642A3B"/>
    <w:rsid w:val="0064431D"/>
    <w:rsid w:val="006457AF"/>
    <w:rsid w:val="006458FE"/>
    <w:rsid w:val="0064597A"/>
    <w:rsid w:val="00645A1C"/>
    <w:rsid w:val="006509C5"/>
    <w:rsid w:val="00651548"/>
    <w:rsid w:val="006518E0"/>
    <w:rsid w:val="00653352"/>
    <w:rsid w:val="00654E4B"/>
    <w:rsid w:val="00656D2E"/>
    <w:rsid w:val="00657814"/>
    <w:rsid w:val="00663444"/>
    <w:rsid w:val="006635FE"/>
    <w:rsid w:val="00663CB3"/>
    <w:rsid w:val="00664146"/>
    <w:rsid w:val="00670E0A"/>
    <w:rsid w:val="00675014"/>
    <w:rsid w:val="00675C23"/>
    <w:rsid w:val="0067721E"/>
    <w:rsid w:val="006812E4"/>
    <w:rsid w:val="00681A8B"/>
    <w:rsid w:val="00682250"/>
    <w:rsid w:val="00682539"/>
    <w:rsid w:val="00683028"/>
    <w:rsid w:val="006838B2"/>
    <w:rsid w:val="006845E1"/>
    <w:rsid w:val="00684991"/>
    <w:rsid w:val="00690BEB"/>
    <w:rsid w:val="006915DA"/>
    <w:rsid w:val="0069234B"/>
    <w:rsid w:val="00692354"/>
    <w:rsid w:val="0069346A"/>
    <w:rsid w:val="00694822"/>
    <w:rsid w:val="00695B4B"/>
    <w:rsid w:val="00697B85"/>
    <w:rsid w:val="006A0EB4"/>
    <w:rsid w:val="006A2EF9"/>
    <w:rsid w:val="006A310D"/>
    <w:rsid w:val="006A3871"/>
    <w:rsid w:val="006A3FAD"/>
    <w:rsid w:val="006A48D0"/>
    <w:rsid w:val="006A4CF7"/>
    <w:rsid w:val="006A6026"/>
    <w:rsid w:val="006A7D81"/>
    <w:rsid w:val="006B0819"/>
    <w:rsid w:val="006B0C1E"/>
    <w:rsid w:val="006B1F3C"/>
    <w:rsid w:val="006B2848"/>
    <w:rsid w:val="006B2F8E"/>
    <w:rsid w:val="006B351E"/>
    <w:rsid w:val="006B369E"/>
    <w:rsid w:val="006B4E55"/>
    <w:rsid w:val="006B4ED8"/>
    <w:rsid w:val="006B52E7"/>
    <w:rsid w:val="006B6C24"/>
    <w:rsid w:val="006C2062"/>
    <w:rsid w:val="006C32FC"/>
    <w:rsid w:val="006C3634"/>
    <w:rsid w:val="006C438A"/>
    <w:rsid w:val="006C43B1"/>
    <w:rsid w:val="006C5B02"/>
    <w:rsid w:val="006C6AE8"/>
    <w:rsid w:val="006D01AB"/>
    <w:rsid w:val="006D01CB"/>
    <w:rsid w:val="006D0452"/>
    <w:rsid w:val="006D2496"/>
    <w:rsid w:val="006D51CF"/>
    <w:rsid w:val="006D6AE8"/>
    <w:rsid w:val="006E1109"/>
    <w:rsid w:val="006E127D"/>
    <w:rsid w:val="006E1621"/>
    <w:rsid w:val="006E2693"/>
    <w:rsid w:val="006E2C50"/>
    <w:rsid w:val="006E67C4"/>
    <w:rsid w:val="006E6E7E"/>
    <w:rsid w:val="006F03A9"/>
    <w:rsid w:val="006F0C56"/>
    <w:rsid w:val="006F0C9C"/>
    <w:rsid w:val="006F1FCF"/>
    <w:rsid w:val="006F2718"/>
    <w:rsid w:val="006F34E8"/>
    <w:rsid w:val="006F3653"/>
    <w:rsid w:val="006F3CC6"/>
    <w:rsid w:val="006F5A86"/>
    <w:rsid w:val="006F7638"/>
    <w:rsid w:val="006F7F8D"/>
    <w:rsid w:val="006F7FFB"/>
    <w:rsid w:val="007010FC"/>
    <w:rsid w:val="0070231B"/>
    <w:rsid w:val="00702713"/>
    <w:rsid w:val="00702AD1"/>
    <w:rsid w:val="00702CB0"/>
    <w:rsid w:val="00702D7F"/>
    <w:rsid w:val="00704EE9"/>
    <w:rsid w:val="00705190"/>
    <w:rsid w:val="00705869"/>
    <w:rsid w:val="0070765A"/>
    <w:rsid w:val="00710410"/>
    <w:rsid w:val="007104D7"/>
    <w:rsid w:val="00714A89"/>
    <w:rsid w:val="007150D8"/>
    <w:rsid w:val="0071523C"/>
    <w:rsid w:val="0071527E"/>
    <w:rsid w:val="00716633"/>
    <w:rsid w:val="007204ED"/>
    <w:rsid w:val="00720ACB"/>
    <w:rsid w:val="00722471"/>
    <w:rsid w:val="00727D15"/>
    <w:rsid w:val="007310DB"/>
    <w:rsid w:val="00731854"/>
    <w:rsid w:val="00734E9E"/>
    <w:rsid w:val="007360E0"/>
    <w:rsid w:val="00736647"/>
    <w:rsid w:val="0073671E"/>
    <w:rsid w:val="00736A7F"/>
    <w:rsid w:val="00740FD4"/>
    <w:rsid w:val="00741516"/>
    <w:rsid w:val="00741996"/>
    <w:rsid w:val="00742665"/>
    <w:rsid w:val="007435CC"/>
    <w:rsid w:val="00744153"/>
    <w:rsid w:val="007450D2"/>
    <w:rsid w:val="00745B2E"/>
    <w:rsid w:val="0074790C"/>
    <w:rsid w:val="00751810"/>
    <w:rsid w:val="00752B27"/>
    <w:rsid w:val="00752C4A"/>
    <w:rsid w:val="00755368"/>
    <w:rsid w:val="00760A81"/>
    <w:rsid w:val="007619BD"/>
    <w:rsid w:val="007624F6"/>
    <w:rsid w:val="00763224"/>
    <w:rsid w:val="007649D3"/>
    <w:rsid w:val="00765E2D"/>
    <w:rsid w:val="007660EC"/>
    <w:rsid w:val="0076649D"/>
    <w:rsid w:val="007669BB"/>
    <w:rsid w:val="00766A28"/>
    <w:rsid w:val="00766A6D"/>
    <w:rsid w:val="007679FB"/>
    <w:rsid w:val="00767AF9"/>
    <w:rsid w:val="0077037E"/>
    <w:rsid w:val="007714FB"/>
    <w:rsid w:val="007755B4"/>
    <w:rsid w:val="0077575D"/>
    <w:rsid w:val="00780028"/>
    <w:rsid w:val="00781923"/>
    <w:rsid w:val="00782DE8"/>
    <w:rsid w:val="007843C0"/>
    <w:rsid w:val="0078530A"/>
    <w:rsid w:val="00786E5D"/>
    <w:rsid w:val="00790CA0"/>
    <w:rsid w:val="00791611"/>
    <w:rsid w:val="007A0FF6"/>
    <w:rsid w:val="007A1C31"/>
    <w:rsid w:val="007A246B"/>
    <w:rsid w:val="007A24C5"/>
    <w:rsid w:val="007A2B9D"/>
    <w:rsid w:val="007A303F"/>
    <w:rsid w:val="007A3440"/>
    <w:rsid w:val="007A7359"/>
    <w:rsid w:val="007A79E5"/>
    <w:rsid w:val="007B029B"/>
    <w:rsid w:val="007B24CA"/>
    <w:rsid w:val="007B2D58"/>
    <w:rsid w:val="007B3BDF"/>
    <w:rsid w:val="007B435D"/>
    <w:rsid w:val="007B47AD"/>
    <w:rsid w:val="007B506D"/>
    <w:rsid w:val="007B66C7"/>
    <w:rsid w:val="007B7B17"/>
    <w:rsid w:val="007B7CD2"/>
    <w:rsid w:val="007C10AC"/>
    <w:rsid w:val="007C1C4F"/>
    <w:rsid w:val="007C1D92"/>
    <w:rsid w:val="007C339C"/>
    <w:rsid w:val="007C38A3"/>
    <w:rsid w:val="007C3A36"/>
    <w:rsid w:val="007C4935"/>
    <w:rsid w:val="007C61CD"/>
    <w:rsid w:val="007C6F55"/>
    <w:rsid w:val="007D082A"/>
    <w:rsid w:val="007D24B0"/>
    <w:rsid w:val="007D271F"/>
    <w:rsid w:val="007D3FA6"/>
    <w:rsid w:val="007D5C4E"/>
    <w:rsid w:val="007D770B"/>
    <w:rsid w:val="007D7C68"/>
    <w:rsid w:val="007E02ED"/>
    <w:rsid w:val="007E0435"/>
    <w:rsid w:val="007E1229"/>
    <w:rsid w:val="007E591A"/>
    <w:rsid w:val="007E5B9E"/>
    <w:rsid w:val="007E6B08"/>
    <w:rsid w:val="007F0D0F"/>
    <w:rsid w:val="007F1E7E"/>
    <w:rsid w:val="007F260C"/>
    <w:rsid w:val="007F3118"/>
    <w:rsid w:val="007F4B9C"/>
    <w:rsid w:val="007F4F18"/>
    <w:rsid w:val="007F5530"/>
    <w:rsid w:val="007F584B"/>
    <w:rsid w:val="007F6D58"/>
    <w:rsid w:val="007F7859"/>
    <w:rsid w:val="007F7E07"/>
    <w:rsid w:val="00800A46"/>
    <w:rsid w:val="00801508"/>
    <w:rsid w:val="00801A14"/>
    <w:rsid w:val="00801BA3"/>
    <w:rsid w:val="00802A14"/>
    <w:rsid w:val="00802DB0"/>
    <w:rsid w:val="00806B8D"/>
    <w:rsid w:val="00810685"/>
    <w:rsid w:val="00812BEA"/>
    <w:rsid w:val="00813E8B"/>
    <w:rsid w:val="008141E3"/>
    <w:rsid w:val="008146E9"/>
    <w:rsid w:val="008154A7"/>
    <w:rsid w:val="00817ACF"/>
    <w:rsid w:val="008206A0"/>
    <w:rsid w:val="0082082C"/>
    <w:rsid w:val="008215AE"/>
    <w:rsid w:val="00821C08"/>
    <w:rsid w:val="008224A3"/>
    <w:rsid w:val="00824B71"/>
    <w:rsid w:val="00825357"/>
    <w:rsid w:val="00825414"/>
    <w:rsid w:val="00826B54"/>
    <w:rsid w:val="008301C5"/>
    <w:rsid w:val="00830B5A"/>
    <w:rsid w:val="008332EF"/>
    <w:rsid w:val="00833F46"/>
    <w:rsid w:val="00833FA2"/>
    <w:rsid w:val="00834B0F"/>
    <w:rsid w:val="008352DC"/>
    <w:rsid w:val="008400AB"/>
    <w:rsid w:val="00840C46"/>
    <w:rsid w:val="00841E17"/>
    <w:rsid w:val="00843195"/>
    <w:rsid w:val="00844491"/>
    <w:rsid w:val="008446AA"/>
    <w:rsid w:val="00845ADE"/>
    <w:rsid w:val="008508B1"/>
    <w:rsid w:val="008517E1"/>
    <w:rsid w:val="00851FEE"/>
    <w:rsid w:val="0085324D"/>
    <w:rsid w:val="00854C09"/>
    <w:rsid w:val="00854EAE"/>
    <w:rsid w:val="00854F99"/>
    <w:rsid w:val="008566EC"/>
    <w:rsid w:val="00857729"/>
    <w:rsid w:val="008609C9"/>
    <w:rsid w:val="008634C6"/>
    <w:rsid w:val="00864EDB"/>
    <w:rsid w:val="00866255"/>
    <w:rsid w:val="00866C23"/>
    <w:rsid w:val="008673F6"/>
    <w:rsid w:val="00867EB4"/>
    <w:rsid w:val="00870317"/>
    <w:rsid w:val="0087137C"/>
    <w:rsid w:val="008725B4"/>
    <w:rsid w:val="00873C17"/>
    <w:rsid w:val="0087423F"/>
    <w:rsid w:val="00874BBF"/>
    <w:rsid w:val="00877935"/>
    <w:rsid w:val="00877BDA"/>
    <w:rsid w:val="008809AC"/>
    <w:rsid w:val="008816DF"/>
    <w:rsid w:val="0088228A"/>
    <w:rsid w:val="008824C4"/>
    <w:rsid w:val="00882983"/>
    <w:rsid w:val="00883080"/>
    <w:rsid w:val="00884601"/>
    <w:rsid w:val="008852AD"/>
    <w:rsid w:val="00886749"/>
    <w:rsid w:val="00890B54"/>
    <w:rsid w:val="008924B0"/>
    <w:rsid w:val="00892F2B"/>
    <w:rsid w:val="008937A9"/>
    <w:rsid w:val="008938AB"/>
    <w:rsid w:val="00895EEC"/>
    <w:rsid w:val="008974E1"/>
    <w:rsid w:val="00897695"/>
    <w:rsid w:val="00897FEB"/>
    <w:rsid w:val="008A07D1"/>
    <w:rsid w:val="008A2638"/>
    <w:rsid w:val="008A5154"/>
    <w:rsid w:val="008A6D20"/>
    <w:rsid w:val="008A70E2"/>
    <w:rsid w:val="008B38F6"/>
    <w:rsid w:val="008C1F94"/>
    <w:rsid w:val="008C35E1"/>
    <w:rsid w:val="008C4B6A"/>
    <w:rsid w:val="008C4D3E"/>
    <w:rsid w:val="008C4F6F"/>
    <w:rsid w:val="008C5BBF"/>
    <w:rsid w:val="008C5D09"/>
    <w:rsid w:val="008C5D31"/>
    <w:rsid w:val="008D082E"/>
    <w:rsid w:val="008D21A1"/>
    <w:rsid w:val="008D655C"/>
    <w:rsid w:val="008D6590"/>
    <w:rsid w:val="008D71F7"/>
    <w:rsid w:val="008D766B"/>
    <w:rsid w:val="008E21BF"/>
    <w:rsid w:val="008E28BC"/>
    <w:rsid w:val="008E47FC"/>
    <w:rsid w:val="008E5420"/>
    <w:rsid w:val="008E61E7"/>
    <w:rsid w:val="008E7F31"/>
    <w:rsid w:val="008F1182"/>
    <w:rsid w:val="008F3366"/>
    <w:rsid w:val="008F37AF"/>
    <w:rsid w:val="008F3A63"/>
    <w:rsid w:val="008F4117"/>
    <w:rsid w:val="008F4CDE"/>
    <w:rsid w:val="008F6B59"/>
    <w:rsid w:val="009011A2"/>
    <w:rsid w:val="009011D6"/>
    <w:rsid w:val="00903F52"/>
    <w:rsid w:val="0090428B"/>
    <w:rsid w:val="00905265"/>
    <w:rsid w:val="009054C9"/>
    <w:rsid w:val="00905704"/>
    <w:rsid w:val="0091007F"/>
    <w:rsid w:val="00912475"/>
    <w:rsid w:val="00913800"/>
    <w:rsid w:val="0091494D"/>
    <w:rsid w:val="009151D1"/>
    <w:rsid w:val="00915D8D"/>
    <w:rsid w:val="00921024"/>
    <w:rsid w:val="00923401"/>
    <w:rsid w:val="00925B71"/>
    <w:rsid w:val="00925E55"/>
    <w:rsid w:val="00927AA1"/>
    <w:rsid w:val="00930EBC"/>
    <w:rsid w:val="00931426"/>
    <w:rsid w:val="009322A4"/>
    <w:rsid w:val="00934A71"/>
    <w:rsid w:val="009376CD"/>
    <w:rsid w:val="009416CB"/>
    <w:rsid w:val="009424E5"/>
    <w:rsid w:val="009449D6"/>
    <w:rsid w:val="009451AA"/>
    <w:rsid w:val="00945536"/>
    <w:rsid w:val="00945EA0"/>
    <w:rsid w:val="00946AA7"/>
    <w:rsid w:val="00947FBE"/>
    <w:rsid w:val="009506B5"/>
    <w:rsid w:val="00950E60"/>
    <w:rsid w:val="00951133"/>
    <w:rsid w:val="0095150F"/>
    <w:rsid w:val="00951717"/>
    <w:rsid w:val="00952BBA"/>
    <w:rsid w:val="00952EAB"/>
    <w:rsid w:val="009532D0"/>
    <w:rsid w:val="00953E2D"/>
    <w:rsid w:val="00954159"/>
    <w:rsid w:val="009605AB"/>
    <w:rsid w:val="00961004"/>
    <w:rsid w:val="00962C18"/>
    <w:rsid w:val="00962CE6"/>
    <w:rsid w:val="00962D49"/>
    <w:rsid w:val="00962E3B"/>
    <w:rsid w:val="0096340C"/>
    <w:rsid w:val="0096455F"/>
    <w:rsid w:val="00964CAD"/>
    <w:rsid w:val="00966281"/>
    <w:rsid w:val="00966471"/>
    <w:rsid w:val="00967D26"/>
    <w:rsid w:val="0097032B"/>
    <w:rsid w:val="00970D7C"/>
    <w:rsid w:val="0097271C"/>
    <w:rsid w:val="00974BDE"/>
    <w:rsid w:val="0097577C"/>
    <w:rsid w:val="00975FC9"/>
    <w:rsid w:val="00980700"/>
    <w:rsid w:val="00980D01"/>
    <w:rsid w:val="009813DD"/>
    <w:rsid w:val="00982773"/>
    <w:rsid w:val="009831D8"/>
    <w:rsid w:val="00984876"/>
    <w:rsid w:val="009851E4"/>
    <w:rsid w:val="00985321"/>
    <w:rsid w:val="009863CF"/>
    <w:rsid w:val="00986E98"/>
    <w:rsid w:val="009905EA"/>
    <w:rsid w:val="00990B55"/>
    <w:rsid w:val="00993A1F"/>
    <w:rsid w:val="009941A1"/>
    <w:rsid w:val="00995962"/>
    <w:rsid w:val="00995EC9"/>
    <w:rsid w:val="009966B6"/>
    <w:rsid w:val="00997326"/>
    <w:rsid w:val="009978E5"/>
    <w:rsid w:val="009A0515"/>
    <w:rsid w:val="009A18DB"/>
    <w:rsid w:val="009A1E97"/>
    <w:rsid w:val="009A2709"/>
    <w:rsid w:val="009A297D"/>
    <w:rsid w:val="009A30D8"/>
    <w:rsid w:val="009A3A2D"/>
    <w:rsid w:val="009A40D2"/>
    <w:rsid w:val="009A490E"/>
    <w:rsid w:val="009A4BEF"/>
    <w:rsid w:val="009A5A75"/>
    <w:rsid w:val="009B0668"/>
    <w:rsid w:val="009B0908"/>
    <w:rsid w:val="009B1537"/>
    <w:rsid w:val="009B19EB"/>
    <w:rsid w:val="009B593F"/>
    <w:rsid w:val="009B5B2D"/>
    <w:rsid w:val="009B78EF"/>
    <w:rsid w:val="009C003A"/>
    <w:rsid w:val="009C11DB"/>
    <w:rsid w:val="009C19D3"/>
    <w:rsid w:val="009C2334"/>
    <w:rsid w:val="009C24B6"/>
    <w:rsid w:val="009C2637"/>
    <w:rsid w:val="009C4397"/>
    <w:rsid w:val="009C457C"/>
    <w:rsid w:val="009C49A1"/>
    <w:rsid w:val="009C5699"/>
    <w:rsid w:val="009C7796"/>
    <w:rsid w:val="009C7A65"/>
    <w:rsid w:val="009D0AC7"/>
    <w:rsid w:val="009D12CA"/>
    <w:rsid w:val="009D1D05"/>
    <w:rsid w:val="009D213C"/>
    <w:rsid w:val="009D3892"/>
    <w:rsid w:val="009D3A06"/>
    <w:rsid w:val="009D4075"/>
    <w:rsid w:val="009D458D"/>
    <w:rsid w:val="009D4B3D"/>
    <w:rsid w:val="009D55F5"/>
    <w:rsid w:val="009D7048"/>
    <w:rsid w:val="009D77E8"/>
    <w:rsid w:val="009D7D7B"/>
    <w:rsid w:val="009E1C6B"/>
    <w:rsid w:val="009E2613"/>
    <w:rsid w:val="009E32A8"/>
    <w:rsid w:val="009E338E"/>
    <w:rsid w:val="009E69BF"/>
    <w:rsid w:val="009E75AC"/>
    <w:rsid w:val="009F0FC0"/>
    <w:rsid w:val="009F24FA"/>
    <w:rsid w:val="009F2808"/>
    <w:rsid w:val="009F2DF0"/>
    <w:rsid w:val="009F3BDC"/>
    <w:rsid w:val="009F3F5F"/>
    <w:rsid w:val="009F5AC3"/>
    <w:rsid w:val="009F604F"/>
    <w:rsid w:val="009F607F"/>
    <w:rsid w:val="009F690B"/>
    <w:rsid w:val="009F7686"/>
    <w:rsid w:val="00A00E2D"/>
    <w:rsid w:val="00A04ACF"/>
    <w:rsid w:val="00A06D57"/>
    <w:rsid w:val="00A07C0A"/>
    <w:rsid w:val="00A07FC7"/>
    <w:rsid w:val="00A11CDD"/>
    <w:rsid w:val="00A11DA8"/>
    <w:rsid w:val="00A1251A"/>
    <w:rsid w:val="00A13897"/>
    <w:rsid w:val="00A149B7"/>
    <w:rsid w:val="00A153AB"/>
    <w:rsid w:val="00A1631C"/>
    <w:rsid w:val="00A202E3"/>
    <w:rsid w:val="00A20724"/>
    <w:rsid w:val="00A213F6"/>
    <w:rsid w:val="00A2390D"/>
    <w:rsid w:val="00A243DC"/>
    <w:rsid w:val="00A265BE"/>
    <w:rsid w:val="00A31930"/>
    <w:rsid w:val="00A32A2E"/>
    <w:rsid w:val="00A32E0B"/>
    <w:rsid w:val="00A33266"/>
    <w:rsid w:val="00A345E5"/>
    <w:rsid w:val="00A36A78"/>
    <w:rsid w:val="00A37FAE"/>
    <w:rsid w:val="00A40674"/>
    <w:rsid w:val="00A40FA6"/>
    <w:rsid w:val="00A4298D"/>
    <w:rsid w:val="00A43E89"/>
    <w:rsid w:val="00A43FD7"/>
    <w:rsid w:val="00A44402"/>
    <w:rsid w:val="00A45ED9"/>
    <w:rsid w:val="00A46147"/>
    <w:rsid w:val="00A46D4C"/>
    <w:rsid w:val="00A47C96"/>
    <w:rsid w:val="00A5006F"/>
    <w:rsid w:val="00A5019A"/>
    <w:rsid w:val="00A51A32"/>
    <w:rsid w:val="00A55965"/>
    <w:rsid w:val="00A563D7"/>
    <w:rsid w:val="00A5668B"/>
    <w:rsid w:val="00A566D6"/>
    <w:rsid w:val="00A56A12"/>
    <w:rsid w:val="00A5788C"/>
    <w:rsid w:val="00A57A53"/>
    <w:rsid w:val="00A60EFF"/>
    <w:rsid w:val="00A61E8B"/>
    <w:rsid w:val="00A61FD5"/>
    <w:rsid w:val="00A62B03"/>
    <w:rsid w:val="00A62B97"/>
    <w:rsid w:val="00A638EC"/>
    <w:rsid w:val="00A64025"/>
    <w:rsid w:val="00A657F1"/>
    <w:rsid w:val="00A67252"/>
    <w:rsid w:val="00A67482"/>
    <w:rsid w:val="00A67BED"/>
    <w:rsid w:val="00A67D38"/>
    <w:rsid w:val="00A702C6"/>
    <w:rsid w:val="00A707E3"/>
    <w:rsid w:val="00A70D31"/>
    <w:rsid w:val="00A71839"/>
    <w:rsid w:val="00A72064"/>
    <w:rsid w:val="00A7429D"/>
    <w:rsid w:val="00A747C9"/>
    <w:rsid w:val="00A747F9"/>
    <w:rsid w:val="00A76D31"/>
    <w:rsid w:val="00A76E93"/>
    <w:rsid w:val="00A80021"/>
    <w:rsid w:val="00A82298"/>
    <w:rsid w:val="00A82605"/>
    <w:rsid w:val="00A8596B"/>
    <w:rsid w:val="00A85B40"/>
    <w:rsid w:val="00A865EC"/>
    <w:rsid w:val="00A9064F"/>
    <w:rsid w:val="00A91174"/>
    <w:rsid w:val="00A91B1A"/>
    <w:rsid w:val="00A92D05"/>
    <w:rsid w:val="00A9335D"/>
    <w:rsid w:val="00A9386A"/>
    <w:rsid w:val="00A94C93"/>
    <w:rsid w:val="00A95FF9"/>
    <w:rsid w:val="00AA0E66"/>
    <w:rsid w:val="00AA133F"/>
    <w:rsid w:val="00AA42D3"/>
    <w:rsid w:val="00AA4F26"/>
    <w:rsid w:val="00AA765C"/>
    <w:rsid w:val="00AB15B8"/>
    <w:rsid w:val="00AB2669"/>
    <w:rsid w:val="00AB6293"/>
    <w:rsid w:val="00AC07C6"/>
    <w:rsid w:val="00AC1386"/>
    <w:rsid w:val="00AC177F"/>
    <w:rsid w:val="00AC2B90"/>
    <w:rsid w:val="00AC3B83"/>
    <w:rsid w:val="00AC41A0"/>
    <w:rsid w:val="00AC43C8"/>
    <w:rsid w:val="00AC7759"/>
    <w:rsid w:val="00AD0F65"/>
    <w:rsid w:val="00AD1499"/>
    <w:rsid w:val="00AD1908"/>
    <w:rsid w:val="00AD32CF"/>
    <w:rsid w:val="00AD4C01"/>
    <w:rsid w:val="00AD6222"/>
    <w:rsid w:val="00AD73F8"/>
    <w:rsid w:val="00AD7C2A"/>
    <w:rsid w:val="00AE0800"/>
    <w:rsid w:val="00AE0863"/>
    <w:rsid w:val="00AE08B2"/>
    <w:rsid w:val="00AE0918"/>
    <w:rsid w:val="00AE21C8"/>
    <w:rsid w:val="00AE31DC"/>
    <w:rsid w:val="00AE3874"/>
    <w:rsid w:val="00AE43B4"/>
    <w:rsid w:val="00AE5E76"/>
    <w:rsid w:val="00AF09A8"/>
    <w:rsid w:val="00AF09C5"/>
    <w:rsid w:val="00AF0AA3"/>
    <w:rsid w:val="00AF1881"/>
    <w:rsid w:val="00AF3153"/>
    <w:rsid w:val="00AF4789"/>
    <w:rsid w:val="00AF4868"/>
    <w:rsid w:val="00AF58AE"/>
    <w:rsid w:val="00AF5C08"/>
    <w:rsid w:val="00AF71D6"/>
    <w:rsid w:val="00AF797C"/>
    <w:rsid w:val="00B00FF2"/>
    <w:rsid w:val="00B02E9D"/>
    <w:rsid w:val="00B03AA7"/>
    <w:rsid w:val="00B0500A"/>
    <w:rsid w:val="00B05ED5"/>
    <w:rsid w:val="00B066EF"/>
    <w:rsid w:val="00B0725B"/>
    <w:rsid w:val="00B07DD0"/>
    <w:rsid w:val="00B10B45"/>
    <w:rsid w:val="00B10DDC"/>
    <w:rsid w:val="00B10EAE"/>
    <w:rsid w:val="00B121C6"/>
    <w:rsid w:val="00B128DD"/>
    <w:rsid w:val="00B13CB5"/>
    <w:rsid w:val="00B14403"/>
    <w:rsid w:val="00B15B68"/>
    <w:rsid w:val="00B164DA"/>
    <w:rsid w:val="00B17554"/>
    <w:rsid w:val="00B20B71"/>
    <w:rsid w:val="00B22390"/>
    <w:rsid w:val="00B22761"/>
    <w:rsid w:val="00B22A5A"/>
    <w:rsid w:val="00B231F6"/>
    <w:rsid w:val="00B2482C"/>
    <w:rsid w:val="00B26E5C"/>
    <w:rsid w:val="00B31839"/>
    <w:rsid w:val="00B370C2"/>
    <w:rsid w:val="00B37BEA"/>
    <w:rsid w:val="00B4083C"/>
    <w:rsid w:val="00B43CB8"/>
    <w:rsid w:val="00B4495F"/>
    <w:rsid w:val="00B45B85"/>
    <w:rsid w:val="00B4735C"/>
    <w:rsid w:val="00B50398"/>
    <w:rsid w:val="00B50601"/>
    <w:rsid w:val="00B5215E"/>
    <w:rsid w:val="00B522A5"/>
    <w:rsid w:val="00B53086"/>
    <w:rsid w:val="00B540CC"/>
    <w:rsid w:val="00B54712"/>
    <w:rsid w:val="00B5555B"/>
    <w:rsid w:val="00B564CF"/>
    <w:rsid w:val="00B56619"/>
    <w:rsid w:val="00B60353"/>
    <w:rsid w:val="00B62873"/>
    <w:rsid w:val="00B63A7F"/>
    <w:rsid w:val="00B63BC3"/>
    <w:rsid w:val="00B653CD"/>
    <w:rsid w:val="00B66770"/>
    <w:rsid w:val="00B67288"/>
    <w:rsid w:val="00B70D91"/>
    <w:rsid w:val="00B70FEF"/>
    <w:rsid w:val="00B71920"/>
    <w:rsid w:val="00B72B3D"/>
    <w:rsid w:val="00B73427"/>
    <w:rsid w:val="00B7351A"/>
    <w:rsid w:val="00B73794"/>
    <w:rsid w:val="00B747B7"/>
    <w:rsid w:val="00B7675B"/>
    <w:rsid w:val="00B76C34"/>
    <w:rsid w:val="00B804F8"/>
    <w:rsid w:val="00B80D82"/>
    <w:rsid w:val="00B824BE"/>
    <w:rsid w:val="00B82E38"/>
    <w:rsid w:val="00B832A8"/>
    <w:rsid w:val="00B8545F"/>
    <w:rsid w:val="00B854C4"/>
    <w:rsid w:val="00B863F6"/>
    <w:rsid w:val="00B8670C"/>
    <w:rsid w:val="00B8788B"/>
    <w:rsid w:val="00B93E62"/>
    <w:rsid w:val="00B94391"/>
    <w:rsid w:val="00B947CD"/>
    <w:rsid w:val="00B953E8"/>
    <w:rsid w:val="00B9680F"/>
    <w:rsid w:val="00BA0798"/>
    <w:rsid w:val="00BA1B7C"/>
    <w:rsid w:val="00BA2EC0"/>
    <w:rsid w:val="00BA455E"/>
    <w:rsid w:val="00BA61B3"/>
    <w:rsid w:val="00BA743C"/>
    <w:rsid w:val="00BB3EF0"/>
    <w:rsid w:val="00BB466C"/>
    <w:rsid w:val="00BB7E00"/>
    <w:rsid w:val="00BC0239"/>
    <w:rsid w:val="00BC03B3"/>
    <w:rsid w:val="00BC067D"/>
    <w:rsid w:val="00BC12E7"/>
    <w:rsid w:val="00BC3DA8"/>
    <w:rsid w:val="00BC403B"/>
    <w:rsid w:val="00BC4C64"/>
    <w:rsid w:val="00BC5917"/>
    <w:rsid w:val="00BC7E8D"/>
    <w:rsid w:val="00BD0878"/>
    <w:rsid w:val="00BD1CEF"/>
    <w:rsid w:val="00BD24A5"/>
    <w:rsid w:val="00BD312D"/>
    <w:rsid w:val="00BD3D74"/>
    <w:rsid w:val="00BD6FAF"/>
    <w:rsid w:val="00BD76AC"/>
    <w:rsid w:val="00BD7C6A"/>
    <w:rsid w:val="00BE0195"/>
    <w:rsid w:val="00BE0755"/>
    <w:rsid w:val="00BE0E7E"/>
    <w:rsid w:val="00BE2FEF"/>
    <w:rsid w:val="00BE350F"/>
    <w:rsid w:val="00BE394B"/>
    <w:rsid w:val="00BE3ED7"/>
    <w:rsid w:val="00BE4F9D"/>
    <w:rsid w:val="00BE6A9E"/>
    <w:rsid w:val="00BE760D"/>
    <w:rsid w:val="00BF0E8B"/>
    <w:rsid w:val="00BF20A9"/>
    <w:rsid w:val="00BF3789"/>
    <w:rsid w:val="00BF4C06"/>
    <w:rsid w:val="00BF5007"/>
    <w:rsid w:val="00BF61DD"/>
    <w:rsid w:val="00BF769A"/>
    <w:rsid w:val="00C00F1F"/>
    <w:rsid w:val="00C0213A"/>
    <w:rsid w:val="00C0216C"/>
    <w:rsid w:val="00C0423F"/>
    <w:rsid w:val="00C05A52"/>
    <w:rsid w:val="00C05D89"/>
    <w:rsid w:val="00C11723"/>
    <w:rsid w:val="00C173F4"/>
    <w:rsid w:val="00C2049E"/>
    <w:rsid w:val="00C20A2C"/>
    <w:rsid w:val="00C228F8"/>
    <w:rsid w:val="00C23367"/>
    <w:rsid w:val="00C23D5F"/>
    <w:rsid w:val="00C24908"/>
    <w:rsid w:val="00C249A9"/>
    <w:rsid w:val="00C27593"/>
    <w:rsid w:val="00C3071F"/>
    <w:rsid w:val="00C30819"/>
    <w:rsid w:val="00C30998"/>
    <w:rsid w:val="00C31293"/>
    <w:rsid w:val="00C33117"/>
    <w:rsid w:val="00C342C7"/>
    <w:rsid w:val="00C3460C"/>
    <w:rsid w:val="00C34874"/>
    <w:rsid w:val="00C365F5"/>
    <w:rsid w:val="00C37081"/>
    <w:rsid w:val="00C40F2B"/>
    <w:rsid w:val="00C43462"/>
    <w:rsid w:val="00C43D91"/>
    <w:rsid w:val="00C44D10"/>
    <w:rsid w:val="00C46A15"/>
    <w:rsid w:val="00C46BFE"/>
    <w:rsid w:val="00C46DA0"/>
    <w:rsid w:val="00C46EE3"/>
    <w:rsid w:val="00C46F70"/>
    <w:rsid w:val="00C476DD"/>
    <w:rsid w:val="00C5050A"/>
    <w:rsid w:val="00C51F8E"/>
    <w:rsid w:val="00C54605"/>
    <w:rsid w:val="00C54F02"/>
    <w:rsid w:val="00C55E3D"/>
    <w:rsid w:val="00C56A61"/>
    <w:rsid w:val="00C56B98"/>
    <w:rsid w:val="00C57951"/>
    <w:rsid w:val="00C60231"/>
    <w:rsid w:val="00C607B2"/>
    <w:rsid w:val="00C61BAB"/>
    <w:rsid w:val="00C61E65"/>
    <w:rsid w:val="00C647F6"/>
    <w:rsid w:val="00C64947"/>
    <w:rsid w:val="00C65B96"/>
    <w:rsid w:val="00C66ADC"/>
    <w:rsid w:val="00C6726C"/>
    <w:rsid w:val="00C7062E"/>
    <w:rsid w:val="00C76250"/>
    <w:rsid w:val="00C763E7"/>
    <w:rsid w:val="00C832A6"/>
    <w:rsid w:val="00C84740"/>
    <w:rsid w:val="00C84926"/>
    <w:rsid w:val="00C84BF3"/>
    <w:rsid w:val="00C861C6"/>
    <w:rsid w:val="00C864C8"/>
    <w:rsid w:val="00C91673"/>
    <w:rsid w:val="00C91DCD"/>
    <w:rsid w:val="00C934D6"/>
    <w:rsid w:val="00C93B88"/>
    <w:rsid w:val="00C93F10"/>
    <w:rsid w:val="00C94A26"/>
    <w:rsid w:val="00C95432"/>
    <w:rsid w:val="00C9558A"/>
    <w:rsid w:val="00C957B3"/>
    <w:rsid w:val="00C97231"/>
    <w:rsid w:val="00CA062B"/>
    <w:rsid w:val="00CA1475"/>
    <w:rsid w:val="00CA1F30"/>
    <w:rsid w:val="00CA1FFC"/>
    <w:rsid w:val="00CA2E5F"/>
    <w:rsid w:val="00CA45A6"/>
    <w:rsid w:val="00CA4BD6"/>
    <w:rsid w:val="00CA7B48"/>
    <w:rsid w:val="00CB23C5"/>
    <w:rsid w:val="00CB3747"/>
    <w:rsid w:val="00CB3FF1"/>
    <w:rsid w:val="00CB44D6"/>
    <w:rsid w:val="00CB44E2"/>
    <w:rsid w:val="00CB467E"/>
    <w:rsid w:val="00CB6AD5"/>
    <w:rsid w:val="00CC02C6"/>
    <w:rsid w:val="00CC0D4F"/>
    <w:rsid w:val="00CC2466"/>
    <w:rsid w:val="00CC4366"/>
    <w:rsid w:val="00CC4C06"/>
    <w:rsid w:val="00CC62B6"/>
    <w:rsid w:val="00CC7484"/>
    <w:rsid w:val="00CC79F3"/>
    <w:rsid w:val="00CC7F78"/>
    <w:rsid w:val="00CD043C"/>
    <w:rsid w:val="00CD07DA"/>
    <w:rsid w:val="00CD0ABA"/>
    <w:rsid w:val="00CD0B98"/>
    <w:rsid w:val="00CD1440"/>
    <w:rsid w:val="00CD1FAE"/>
    <w:rsid w:val="00CD32F8"/>
    <w:rsid w:val="00CD4374"/>
    <w:rsid w:val="00CD5B4F"/>
    <w:rsid w:val="00CD71ED"/>
    <w:rsid w:val="00CE0AE2"/>
    <w:rsid w:val="00CE0E1B"/>
    <w:rsid w:val="00CE1056"/>
    <w:rsid w:val="00CE17D3"/>
    <w:rsid w:val="00CE4391"/>
    <w:rsid w:val="00CE45FA"/>
    <w:rsid w:val="00CE5B23"/>
    <w:rsid w:val="00CE671D"/>
    <w:rsid w:val="00CE6733"/>
    <w:rsid w:val="00CE6912"/>
    <w:rsid w:val="00CF0E9A"/>
    <w:rsid w:val="00CF1FD6"/>
    <w:rsid w:val="00CF351A"/>
    <w:rsid w:val="00CF449D"/>
    <w:rsid w:val="00D00043"/>
    <w:rsid w:val="00D01D1A"/>
    <w:rsid w:val="00D01F49"/>
    <w:rsid w:val="00D034FC"/>
    <w:rsid w:val="00D05EF0"/>
    <w:rsid w:val="00D10606"/>
    <w:rsid w:val="00D11156"/>
    <w:rsid w:val="00D12287"/>
    <w:rsid w:val="00D1287D"/>
    <w:rsid w:val="00D13D46"/>
    <w:rsid w:val="00D13EF8"/>
    <w:rsid w:val="00D142B2"/>
    <w:rsid w:val="00D14C1E"/>
    <w:rsid w:val="00D15113"/>
    <w:rsid w:val="00D1603F"/>
    <w:rsid w:val="00D178B2"/>
    <w:rsid w:val="00D17BF0"/>
    <w:rsid w:val="00D20418"/>
    <w:rsid w:val="00D22299"/>
    <w:rsid w:val="00D224B4"/>
    <w:rsid w:val="00D24F35"/>
    <w:rsid w:val="00D252E4"/>
    <w:rsid w:val="00D25CB9"/>
    <w:rsid w:val="00D26288"/>
    <w:rsid w:val="00D27F9D"/>
    <w:rsid w:val="00D30112"/>
    <w:rsid w:val="00D31338"/>
    <w:rsid w:val="00D3489C"/>
    <w:rsid w:val="00D35B43"/>
    <w:rsid w:val="00D35F19"/>
    <w:rsid w:val="00D37AC6"/>
    <w:rsid w:val="00D418A0"/>
    <w:rsid w:val="00D43200"/>
    <w:rsid w:val="00D43B9E"/>
    <w:rsid w:val="00D4499D"/>
    <w:rsid w:val="00D450FB"/>
    <w:rsid w:val="00D45B4B"/>
    <w:rsid w:val="00D47097"/>
    <w:rsid w:val="00D513DB"/>
    <w:rsid w:val="00D5350B"/>
    <w:rsid w:val="00D5549F"/>
    <w:rsid w:val="00D56F5C"/>
    <w:rsid w:val="00D6025E"/>
    <w:rsid w:val="00D6117D"/>
    <w:rsid w:val="00D61C7A"/>
    <w:rsid w:val="00D61EDE"/>
    <w:rsid w:val="00D624A1"/>
    <w:rsid w:val="00D62C53"/>
    <w:rsid w:val="00D62F90"/>
    <w:rsid w:val="00D63366"/>
    <w:rsid w:val="00D63D48"/>
    <w:rsid w:val="00D64B18"/>
    <w:rsid w:val="00D66CA9"/>
    <w:rsid w:val="00D67685"/>
    <w:rsid w:val="00D67717"/>
    <w:rsid w:val="00D7049A"/>
    <w:rsid w:val="00D7091D"/>
    <w:rsid w:val="00D71870"/>
    <w:rsid w:val="00D72796"/>
    <w:rsid w:val="00D738D9"/>
    <w:rsid w:val="00D747FC"/>
    <w:rsid w:val="00D758C1"/>
    <w:rsid w:val="00D766EB"/>
    <w:rsid w:val="00D806F0"/>
    <w:rsid w:val="00D80D41"/>
    <w:rsid w:val="00D818EC"/>
    <w:rsid w:val="00D841B4"/>
    <w:rsid w:val="00D84483"/>
    <w:rsid w:val="00D857A2"/>
    <w:rsid w:val="00D861E7"/>
    <w:rsid w:val="00D868A6"/>
    <w:rsid w:val="00D87C19"/>
    <w:rsid w:val="00D87EFB"/>
    <w:rsid w:val="00D902C1"/>
    <w:rsid w:val="00D907EA"/>
    <w:rsid w:val="00D90ADB"/>
    <w:rsid w:val="00D924ED"/>
    <w:rsid w:val="00D94024"/>
    <w:rsid w:val="00DA039E"/>
    <w:rsid w:val="00DA04FE"/>
    <w:rsid w:val="00DA26CA"/>
    <w:rsid w:val="00DA2FB6"/>
    <w:rsid w:val="00DA71D1"/>
    <w:rsid w:val="00DA7B2A"/>
    <w:rsid w:val="00DB61C2"/>
    <w:rsid w:val="00DC12C6"/>
    <w:rsid w:val="00DC12DD"/>
    <w:rsid w:val="00DC14B0"/>
    <w:rsid w:val="00DC3BBD"/>
    <w:rsid w:val="00DC610B"/>
    <w:rsid w:val="00DC6C75"/>
    <w:rsid w:val="00DD30B9"/>
    <w:rsid w:val="00DD5878"/>
    <w:rsid w:val="00DD7606"/>
    <w:rsid w:val="00DD7680"/>
    <w:rsid w:val="00DE0963"/>
    <w:rsid w:val="00DE1C2C"/>
    <w:rsid w:val="00DE26D9"/>
    <w:rsid w:val="00DE344D"/>
    <w:rsid w:val="00DE39D5"/>
    <w:rsid w:val="00DE55D3"/>
    <w:rsid w:val="00DE6C5F"/>
    <w:rsid w:val="00DF0633"/>
    <w:rsid w:val="00DF182B"/>
    <w:rsid w:val="00DF2375"/>
    <w:rsid w:val="00DF3657"/>
    <w:rsid w:val="00DF3CAF"/>
    <w:rsid w:val="00DF45E5"/>
    <w:rsid w:val="00DF5047"/>
    <w:rsid w:val="00DF53E0"/>
    <w:rsid w:val="00DF5A8A"/>
    <w:rsid w:val="00DF65BE"/>
    <w:rsid w:val="00DF6B7E"/>
    <w:rsid w:val="00DF72E9"/>
    <w:rsid w:val="00DF7CDF"/>
    <w:rsid w:val="00DF7CF1"/>
    <w:rsid w:val="00DF7DAA"/>
    <w:rsid w:val="00E003C1"/>
    <w:rsid w:val="00E013D2"/>
    <w:rsid w:val="00E02075"/>
    <w:rsid w:val="00E020CD"/>
    <w:rsid w:val="00E02D44"/>
    <w:rsid w:val="00E0368B"/>
    <w:rsid w:val="00E04987"/>
    <w:rsid w:val="00E07A1B"/>
    <w:rsid w:val="00E07EAC"/>
    <w:rsid w:val="00E10498"/>
    <w:rsid w:val="00E106D9"/>
    <w:rsid w:val="00E1084F"/>
    <w:rsid w:val="00E14801"/>
    <w:rsid w:val="00E15EF3"/>
    <w:rsid w:val="00E16239"/>
    <w:rsid w:val="00E16375"/>
    <w:rsid w:val="00E16C4D"/>
    <w:rsid w:val="00E16D4F"/>
    <w:rsid w:val="00E173CB"/>
    <w:rsid w:val="00E2051A"/>
    <w:rsid w:val="00E22076"/>
    <w:rsid w:val="00E231B8"/>
    <w:rsid w:val="00E23852"/>
    <w:rsid w:val="00E246B7"/>
    <w:rsid w:val="00E24AA9"/>
    <w:rsid w:val="00E255FB"/>
    <w:rsid w:val="00E26549"/>
    <w:rsid w:val="00E268B7"/>
    <w:rsid w:val="00E27BCF"/>
    <w:rsid w:val="00E30A2A"/>
    <w:rsid w:val="00E31713"/>
    <w:rsid w:val="00E31768"/>
    <w:rsid w:val="00E33580"/>
    <w:rsid w:val="00E36C6B"/>
    <w:rsid w:val="00E3713D"/>
    <w:rsid w:val="00E40E5C"/>
    <w:rsid w:val="00E41154"/>
    <w:rsid w:val="00E41B60"/>
    <w:rsid w:val="00E425BC"/>
    <w:rsid w:val="00E43E11"/>
    <w:rsid w:val="00E447F2"/>
    <w:rsid w:val="00E46463"/>
    <w:rsid w:val="00E4684B"/>
    <w:rsid w:val="00E50513"/>
    <w:rsid w:val="00E506B8"/>
    <w:rsid w:val="00E5152A"/>
    <w:rsid w:val="00E51A86"/>
    <w:rsid w:val="00E534E3"/>
    <w:rsid w:val="00E537D5"/>
    <w:rsid w:val="00E55E3A"/>
    <w:rsid w:val="00E569B0"/>
    <w:rsid w:val="00E574CA"/>
    <w:rsid w:val="00E622CC"/>
    <w:rsid w:val="00E63741"/>
    <w:rsid w:val="00E67791"/>
    <w:rsid w:val="00E67E71"/>
    <w:rsid w:val="00E7024D"/>
    <w:rsid w:val="00E70B76"/>
    <w:rsid w:val="00E70DDF"/>
    <w:rsid w:val="00E7160D"/>
    <w:rsid w:val="00E720E7"/>
    <w:rsid w:val="00E72759"/>
    <w:rsid w:val="00E73964"/>
    <w:rsid w:val="00E74CCA"/>
    <w:rsid w:val="00E75621"/>
    <w:rsid w:val="00E81151"/>
    <w:rsid w:val="00E838DE"/>
    <w:rsid w:val="00E8390C"/>
    <w:rsid w:val="00E842D2"/>
    <w:rsid w:val="00E84AA2"/>
    <w:rsid w:val="00E8709E"/>
    <w:rsid w:val="00E9090D"/>
    <w:rsid w:val="00E9380F"/>
    <w:rsid w:val="00E93B5A"/>
    <w:rsid w:val="00E93F9F"/>
    <w:rsid w:val="00E9481B"/>
    <w:rsid w:val="00E95626"/>
    <w:rsid w:val="00E95992"/>
    <w:rsid w:val="00EA0D06"/>
    <w:rsid w:val="00EA5D4C"/>
    <w:rsid w:val="00EA7BDC"/>
    <w:rsid w:val="00EB0135"/>
    <w:rsid w:val="00EB1806"/>
    <w:rsid w:val="00EB229E"/>
    <w:rsid w:val="00EB29AA"/>
    <w:rsid w:val="00EB5740"/>
    <w:rsid w:val="00EB60E5"/>
    <w:rsid w:val="00EB7E00"/>
    <w:rsid w:val="00EC075A"/>
    <w:rsid w:val="00EC167F"/>
    <w:rsid w:val="00EC1CB4"/>
    <w:rsid w:val="00EC1D48"/>
    <w:rsid w:val="00EC4872"/>
    <w:rsid w:val="00EC4D45"/>
    <w:rsid w:val="00EC5C73"/>
    <w:rsid w:val="00EC6946"/>
    <w:rsid w:val="00EC77DC"/>
    <w:rsid w:val="00ED008C"/>
    <w:rsid w:val="00ED0FC8"/>
    <w:rsid w:val="00ED4E27"/>
    <w:rsid w:val="00ED53F7"/>
    <w:rsid w:val="00ED578E"/>
    <w:rsid w:val="00ED5E1C"/>
    <w:rsid w:val="00ED6544"/>
    <w:rsid w:val="00ED6560"/>
    <w:rsid w:val="00ED66B5"/>
    <w:rsid w:val="00EE01DD"/>
    <w:rsid w:val="00EE02E3"/>
    <w:rsid w:val="00EE3F02"/>
    <w:rsid w:val="00EE6CB2"/>
    <w:rsid w:val="00EF028E"/>
    <w:rsid w:val="00EF1172"/>
    <w:rsid w:val="00EF2502"/>
    <w:rsid w:val="00EF4E77"/>
    <w:rsid w:val="00EF6C96"/>
    <w:rsid w:val="00F00006"/>
    <w:rsid w:val="00F00BC4"/>
    <w:rsid w:val="00F00D54"/>
    <w:rsid w:val="00F022BD"/>
    <w:rsid w:val="00F03440"/>
    <w:rsid w:val="00F03B29"/>
    <w:rsid w:val="00F04CAA"/>
    <w:rsid w:val="00F06088"/>
    <w:rsid w:val="00F066F1"/>
    <w:rsid w:val="00F07F80"/>
    <w:rsid w:val="00F10849"/>
    <w:rsid w:val="00F11144"/>
    <w:rsid w:val="00F11411"/>
    <w:rsid w:val="00F11759"/>
    <w:rsid w:val="00F119CA"/>
    <w:rsid w:val="00F1254F"/>
    <w:rsid w:val="00F13622"/>
    <w:rsid w:val="00F16102"/>
    <w:rsid w:val="00F1635D"/>
    <w:rsid w:val="00F1763E"/>
    <w:rsid w:val="00F17BC2"/>
    <w:rsid w:val="00F17F31"/>
    <w:rsid w:val="00F20C4E"/>
    <w:rsid w:val="00F22893"/>
    <w:rsid w:val="00F22B92"/>
    <w:rsid w:val="00F23256"/>
    <w:rsid w:val="00F250D6"/>
    <w:rsid w:val="00F25365"/>
    <w:rsid w:val="00F25F42"/>
    <w:rsid w:val="00F27619"/>
    <w:rsid w:val="00F330B7"/>
    <w:rsid w:val="00F332A3"/>
    <w:rsid w:val="00F3360A"/>
    <w:rsid w:val="00F35143"/>
    <w:rsid w:val="00F3538A"/>
    <w:rsid w:val="00F3665A"/>
    <w:rsid w:val="00F36E71"/>
    <w:rsid w:val="00F378A3"/>
    <w:rsid w:val="00F40793"/>
    <w:rsid w:val="00F4127F"/>
    <w:rsid w:val="00F43134"/>
    <w:rsid w:val="00F43EAC"/>
    <w:rsid w:val="00F4483B"/>
    <w:rsid w:val="00F46140"/>
    <w:rsid w:val="00F514B8"/>
    <w:rsid w:val="00F51B31"/>
    <w:rsid w:val="00F52011"/>
    <w:rsid w:val="00F52604"/>
    <w:rsid w:val="00F52BBD"/>
    <w:rsid w:val="00F5309C"/>
    <w:rsid w:val="00F54257"/>
    <w:rsid w:val="00F55AF8"/>
    <w:rsid w:val="00F560F2"/>
    <w:rsid w:val="00F5770F"/>
    <w:rsid w:val="00F6113F"/>
    <w:rsid w:val="00F617B0"/>
    <w:rsid w:val="00F617BE"/>
    <w:rsid w:val="00F63817"/>
    <w:rsid w:val="00F64011"/>
    <w:rsid w:val="00F645D5"/>
    <w:rsid w:val="00F65305"/>
    <w:rsid w:val="00F6663E"/>
    <w:rsid w:val="00F73AE3"/>
    <w:rsid w:val="00F73FB0"/>
    <w:rsid w:val="00F744E3"/>
    <w:rsid w:val="00F74D9A"/>
    <w:rsid w:val="00F750F6"/>
    <w:rsid w:val="00F75B8D"/>
    <w:rsid w:val="00F77A2D"/>
    <w:rsid w:val="00F801FA"/>
    <w:rsid w:val="00F809A0"/>
    <w:rsid w:val="00F80F11"/>
    <w:rsid w:val="00F82C74"/>
    <w:rsid w:val="00F83CBC"/>
    <w:rsid w:val="00F852D9"/>
    <w:rsid w:val="00F85CC8"/>
    <w:rsid w:val="00F86FCA"/>
    <w:rsid w:val="00F87160"/>
    <w:rsid w:val="00F87C4D"/>
    <w:rsid w:val="00F9069F"/>
    <w:rsid w:val="00F90767"/>
    <w:rsid w:val="00F90B62"/>
    <w:rsid w:val="00F94920"/>
    <w:rsid w:val="00F94D12"/>
    <w:rsid w:val="00F950E7"/>
    <w:rsid w:val="00F958EF"/>
    <w:rsid w:val="00F95FE9"/>
    <w:rsid w:val="00F97B39"/>
    <w:rsid w:val="00F97F37"/>
    <w:rsid w:val="00FA15F2"/>
    <w:rsid w:val="00FA3A3F"/>
    <w:rsid w:val="00FA3BAD"/>
    <w:rsid w:val="00FA4B64"/>
    <w:rsid w:val="00FA5481"/>
    <w:rsid w:val="00FA5ECD"/>
    <w:rsid w:val="00FA6B0C"/>
    <w:rsid w:val="00FA7A66"/>
    <w:rsid w:val="00FA7BD0"/>
    <w:rsid w:val="00FB028C"/>
    <w:rsid w:val="00FB048E"/>
    <w:rsid w:val="00FB117B"/>
    <w:rsid w:val="00FB2E87"/>
    <w:rsid w:val="00FB3E75"/>
    <w:rsid w:val="00FB40A7"/>
    <w:rsid w:val="00FB5264"/>
    <w:rsid w:val="00FB58FD"/>
    <w:rsid w:val="00FB6880"/>
    <w:rsid w:val="00FB6C72"/>
    <w:rsid w:val="00FC1762"/>
    <w:rsid w:val="00FC296C"/>
    <w:rsid w:val="00FC3240"/>
    <w:rsid w:val="00FC482F"/>
    <w:rsid w:val="00FC58C2"/>
    <w:rsid w:val="00FC7585"/>
    <w:rsid w:val="00FC7EC3"/>
    <w:rsid w:val="00FD15B1"/>
    <w:rsid w:val="00FD36F6"/>
    <w:rsid w:val="00FD44EE"/>
    <w:rsid w:val="00FD76BE"/>
    <w:rsid w:val="00FD7CD1"/>
    <w:rsid w:val="00FE03B9"/>
    <w:rsid w:val="00FE10BE"/>
    <w:rsid w:val="00FE1411"/>
    <w:rsid w:val="00FE197D"/>
    <w:rsid w:val="00FE1D30"/>
    <w:rsid w:val="00FE426F"/>
    <w:rsid w:val="00FE6057"/>
    <w:rsid w:val="00FE6ADD"/>
    <w:rsid w:val="00FE79A4"/>
    <w:rsid w:val="00FE7AD2"/>
    <w:rsid w:val="00FF0A3B"/>
    <w:rsid w:val="00FF1BD1"/>
    <w:rsid w:val="00FF21AE"/>
    <w:rsid w:val="00FF3D3F"/>
    <w:rsid w:val="00FF47ED"/>
    <w:rsid w:val="00FF5F41"/>
    <w:rsid w:val="00FF674C"/>
    <w:rsid w:val="00FF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BE1DA1"/>
  <w15:docId w15:val="{FE281DAB-A237-480A-B999-3D1FA240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471"/>
  </w:style>
  <w:style w:type="paragraph" w:styleId="Heading1">
    <w:name w:val="heading 1"/>
    <w:basedOn w:val="Normal"/>
    <w:next w:val="Normal"/>
    <w:link w:val="Heading1Char"/>
    <w:uiPriority w:val="9"/>
    <w:qFormat/>
    <w:rsid w:val="000B03EB"/>
    <w:pPr>
      <w:keepNext/>
      <w:keepLines/>
      <w:pBdr>
        <w:bottom w:val="single" w:sz="4" w:space="2" w:color="3F3F3F"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0B03EB"/>
    <w:pPr>
      <w:keepNext/>
      <w:keepLines/>
      <w:spacing w:before="120" w:after="0" w:line="240" w:lineRule="auto"/>
      <w:outlineLvl w:val="1"/>
    </w:pPr>
    <w:rPr>
      <w:rFonts w:asciiTheme="majorHAnsi" w:eastAsiaTheme="majorEastAsia" w:hAnsiTheme="majorHAnsi" w:cstheme="majorBidi"/>
      <w:color w:val="3F3F3F" w:themeColor="accent2"/>
      <w:sz w:val="36"/>
      <w:szCs w:val="36"/>
    </w:rPr>
  </w:style>
  <w:style w:type="paragraph" w:styleId="Heading3">
    <w:name w:val="heading 3"/>
    <w:basedOn w:val="Normal"/>
    <w:next w:val="Normal"/>
    <w:link w:val="Heading3Char"/>
    <w:uiPriority w:val="9"/>
    <w:unhideWhenUsed/>
    <w:qFormat/>
    <w:rsid w:val="000B03EB"/>
    <w:pPr>
      <w:keepNext/>
      <w:keepLines/>
      <w:spacing w:before="80" w:after="0" w:line="240" w:lineRule="auto"/>
      <w:outlineLvl w:val="2"/>
    </w:pPr>
    <w:rPr>
      <w:rFonts w:asciiTheme="majorHAnsi" w:eastAsiaTheme="majorEastAsia" w:hAnsiTheme="majorHAnsi" w:cstheme="majorBidi"/>
      <w:color w:val="2F2F2F" w:themeColor="accent2" w:themeShade="BF"/>
      <w:sz w:val="32"/>
      <w:szCs w:val="32"/>
    </w:rPr>
  </w:style>
  <w:style w:type="paragraph" w:styleId="Heading4">
    <w:name w:val="heading 4"/>
    <w:basedOn w:val="Normal"/>
    <w:next w:val="Normal"/>
    <w:link w:val="Heading4Char"/>
    <w:uiPriority w:val="9"/>
    <w:unhideWhenUsed/>
    <w:qFormat/>
    <w:rsid w:val="000B03EB"/>
    <w:pPr>
      <w:keepNext/>
      <w:keepLines/>
      <w:spacing w:before="80" w:after="0" w:line="240" w:lineRule="auto"/>
      <w:outlineLvl w:val="3"/>
    </w:pPr>
    <w:rPr>
      <w:rFonts w:asciiTheme="majorHAnsi" w:eastAsiaTheme="majorEastAsia" w:hAnsiTheme="majorHAnsi" w:cstheme="majorBidi"/>
      <w:i/>
      <w:iCs/>
      <w:color w:val="1F1F1F" w:themeColor="accent2" w:themeShade="80"/>
      <w:sz w:val="28"/>
      <w:szCs w:val="28"/>
    </w:rPr>
  </w:style>
  <w:style w:type="paragraph" w:styleId="Heading5">
    <w:name w:val="heading 5"/>
    <w:basedOn w:val="Normal"/>
    <w:next w:val="Normal"/>
    <w:link w:val="Heading5Char"/>
    <w:uiPriority w:val="9"/>
    <w:unhideWhenUsed/>
    <w:qFormat/>
    <w:rsid w:val="000B03EB"/>
    <w:pPr>
      <w:keepNext/>
      <w:keepLines/>
      <w:spacing w:before="80" w:after="0" w:line="240" w:lineRule="auto"/>
      <w:outlineLvl w:val="4"/>
    </w:pPr>
    <w:rPr>
      <w:rFonts w:asciiTheme="majorHAnsi" w:eastAsiaTheme="majorEastAsia" w:hAnsiTheme="majorHAnsi" w:cstheme="majorBidi"/>
      <w:color w:val="2F2F2F" w:themeColor="accent2" w:themeShade="BF"/>
      <w:sz w:val="24"/>
      <w:szCs w:val="24"/>
    </w:rPr>
  </w:style>
  <w:style w:type="paragraph" w:styleId="Heading6">
    <w:name w:val="heading 6"/>
    <w:basedOn w:val="Normal"/>
    <w:next w:val="Normal"/>
    <w:link w:val="Heading6Char"/>
    <w:uiPriority w:val="9"/>
    <w:semiHidden/>
    <w:unhideWhenUsed/>
    <w:qFormat/>
    <w:rsid w:val="000B03EB"/>
    <w:pPr>
      <w:keepNext/>
      <w:keepLines/>
      <w:spacing w:before="80" w:after="0" w:line="240" w:lineRule="auto"/>
      <w:outlineLvl w:val="5"/>
    </w:pPr>
    <w:rPr>
      <w:rFonts w:asciiTheme="majorHAnsi" w:eastAsiaTheme="majorEastAsia" w:hAnsiTheme="majorHAnsi" w:cstheme="majorBidi"/>
      <w:i/>
      <w:iCs/>
      <w:color w:val="1F1F1F" w:themeColor="accent2" w:themeShade="80"/>
      <w:sz w:val="24"/>
      <w:szCs w:val="24"/>
    </w:rPr>
  </w:style>
  <w:style w:type="paragraph" w:styleId="Heading7">
    <w:name w:val="heading 7"/>
    <w:basedOn w:val="Normal"/>
    <w:next w:val="Normal"/>
    <w:link w:val="Heading7Char"/>
    <w:uiPriority w:val="9"/>
    <w:semiHidden/>
    <w:unhideWhenUsed/>
    <w:qFormat/>
    <w:rsid w:val="000B03EB"/>
    <w:pPr>
      <w:keepNext/>
      <w:keepLines/>
      <w:spacing w:before="80" w:after="0" w:line="240" w:lineRule="auto"/>
      <w:outlineLvl w:val="6"/>
    </w:pPr>
    <w:rPr>
      <w:rFonts w:asciiTheme="majorHAnsi" w:eastAsiaTheme="majorEastAsia" w:hAnsiTheme="majorHAnsi" w:cstheme="majorBidi"/>
      <w:b/>
      <w:bCs/>
      <w:color w:val="1F1F1F" w:themeColor="accent2" w:themeShade="80"/>
      <w:sz w:val="22"/>
      <w:szCs w:val="22"/>
    </w:rPr>
  </w:style>
  <w:style w:type="paragraph" w:styleId="Heading8">
    <w:name w:val="heading 8"/>
    <w:basedOn w:val="Normal"/>
    <w:next w:val="Normal"/>
    <w:link w:val="Heading8Char"/>
    <w:uiPriority w:val="9"/>
    <w:semiHidden/>
    <w:unhideWhenUsed/>
    <w:qFormat/>
    <w:rsid w:val="000B03EB"/>
    <w:pPr>
      <w:keepNext/>
      <w:keepLines/>
      <w:spacing w:before="80" w:after="0" w:line="240" w:lineRule="auto"/>
      <w:outlineLvl w:val="7"/>
    </w:pPr>
    <w:rPr>
      <w:rFonts w:asciiTheme="majorHAnsi" w:eastAsiaTheme="majorEastAsia" w:hAnsiTheme="majorHAnsi" w:cstheme="majorBidi"/>
      <w:color w:val="1F1F1F" w:themeColor="accent2" w:themeShade="80"/>
      <w:sz w:val="22"/>
      <w:szCs w:val="22"/>
    </w:rPr>
  </w:style>
  <w:style w:type="paragraph" w:styleId="Heading9">
    <w:name w:val="heading 9"/>
    <w:basedOn w:val="Normal"/>
    <w:next w:val="Normal"/>
    <w:link w:val="Heading9Char"/>
    <w:uiPriority w:val="9"/>
    <w:semiHidden/>
    <w:unhideWhenUsed/>
    <w:qFormat/>
    <w:rsid w:val="000B03EB"/>
    <w:pPr>
      <w:keepNext/>
      <w:keepLines/>
      <w:spacing w:before="80" w:after="0" w:line="240" w:lineRule="auto"/>
      <w:outlineLvl w:val="8"/>
    </w:pPr>
    <w:rPr>
      <w:rFonts w:asciiTheme="majorHAnsi" w:eastAsiaTheme="majorEastAsia" w:hAnsiTheme="majorHAnsi" w:cstheme="majorBidi"/>
      <w:i/>
      <w:iCs/>
      <w:color w:val="1F1F1F"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3EB"/>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0B03EB"/>
    <w:rPr>
      <w:rFonts w:asciiTheme="majorHAnsi" w:eastAsiaTheme="majorEastAsia" w:hAnsiTheme="majorHAnsi" w:cstheme="majorBidi"/>
      <w:color w:val="3F3F3F" w:themeColor="accent2"/>
      <w:sz w:val="36"/>
      <w:szCs w:val="36"/>
    </w:rPr>
  </w:style>
  <w:style w:type="character" w:customStyle="1" w:styleId="Heading3Char">
    <w:name w:val="Heading 3 Char"/>
    <w:basedOn w:val="DefaultParagraphFont"/>
    <w:link w:val="Heading3"/>
    <w:uiPriority w:val="9"/>
    <w:rsid w:val="000B03EB"/>
    <w:rPr>
      <w:rFonts w:asciiTheme="majorHAnsi" w:eastAsiaTheme="majorEastAsia" w:hAnsiTheme="majorHAnsi" w:cstheme="majorBidi"/>
      <w:color w:val="2F2F2F" w:themeColor="accent2" w:themeShade="BF"/>
      <w:sz w:val="32"/>
      <w:szCs w:val="32"/>
    </w:rPr>
  </w:style>
  <w:style w:type="character" w:customStyle="1" w:styleId="Heading4Char">
    <w:name w:val="Heading 4 Char"/>
    <w:basedOn w:val="DefaultParagraphFont"/>
    <w:link w:val="Heading4"/>
    <w:uiPriority w:val="9"/>
    <w:rsid w:val="000B03EB"/>
    <w:rPr>
      <w:rFonts w:asciiTheme="majorHAnsi" w:eastAsiaTheme="majorEastAsia" w:hAnsiTheme="majorHAnsi" w:cstheme="majorBidi"/>
      <w:i/>
      <w:iCs/>
      <w:color w:val="1F1F1F" w:themeColor="accent2" w:themeShade="80"/>
      <w:sz w:val="28"/>
      <w:szCs w:val="28"/>
    </w:rPr>
  </w:style>
  <w:style w:type="character" w:customStyle="1" w:styleId="Heading5Char">
    <w:name w:val="Heading 5 Char"/>
    <w:basedOn w:val="DefaultParagraphFont"/>
    <w:link w:val="Heading5"/>
    <w:uiPriority w:val="9"/>
    <w:rsid w:val="000B03EB"/>
    <w:rPr>
      <w:rFonts w:asciiTheme="majorHAnsi" w:eastAsiaTheme="majorEastAsia" w:hAnsiTheme="majorHAnsi" w:cstheme="majorBidi"/>
      <w:color w:val="2F2F2F" w:themeColor="accent2" w:themeShade="BF"/>
      <w:sz w:val="24"/>
      <w:szCs w:val="24"/>
    </w:rPr>
  </w:style>
  <w:style w:type="character" w:customStyle="1" w:styleId="Heading6Char">
    <w:name w:val="Heading 6 Char"/>
    <w:basedOn w:val="DefaultParagraphFont"/>
    <w:link w:val="Heading6"/>
    <w:uiPriority w:val="9"/>
    <w:semiHidden/>
    <w:rsid w:val="000B03EB"/>
    <w:rPr>
      <w:rFonts w:asciiTheme="majorHAnsi" w:eastAsiaTheme="majorEastAsia" w:hAnsiTheme="majorHAnsi" w:cstheme="majorBidi"/>
      <w:i/>
      <w:iCs/>
      <w:color w:val="1F1F1F" w:themeColor="accent2" w:themeShade="80"/>
      <w:sz w:val="24"/>
      <w:szCs w:val="24"/>
    </w:rPr>
  </w:style>
  <w:style w:type="character" w:customStyle="1" w:styleId="Heading7Char">
    <w:name w:val="Heading 7 Char"/>
    <w:basedOn w:val="DefaultParagraphFont"/>
    <w:link w:val="Heading7"/>
    <w:uiPriority w:val="9"/>
    <w:semiHidden/>
    <w:rsid w:val="000B03EB"/>
    <w:rPr>
      <w:rFonts w:asciiTheme="majorHAnsi" w:eastAsiaTheme="majorEastAsia" w:hAnsiTheme="majorHAnsi" w:cstheme="majorBidi"/>
      <w:b/>
      <w:bCs/>
      <w:color w:val="1F1F1F" w:themeColor="accent2" w:themeShade="80"/>
      <w:sz w:val="22"/>
      <w:szCs w:val="22"/>
    </w:rPr>
  </w:style>
  <w:style w:type="character" w:customStyle="1" w:styleId="Heading8Char">
    <w:name w:val="Heading 8 Char"/>
    <w:basedOn w:val="DefaultParagraphFont"/>
    <w:link w:val="Heading8"/>
    <w:uiPriority w:val="9"/>
    <w:semiHidden/>
    <w:rsid w:val="000B03EB"/>
    <w:rPr>
      <w:rFonts w:asciiTheme="majorHAnsi" w:eastAsiaTheme="majorEastAsia" w:hAnsiTheme="majorHAnsi" w:cstheme="majorBidi"/>
      <w:color w:val="1F1F1F" w:themeColor="accent2" w:themeShade="80"/>
      <w:sz w:val="22"/>
      <w:szCs w:val="22"/>
    </w:rPr>
  </w:style>
  <w:style w:type="character" w:customStyle="1" w:styleId="Heading9Char">
    <w:name w:val="Heading 9 Char"/>
    <w:basedOn w:val="DefaultParagraphFont"/>
    <w:link w:val="Heading9"/>
    <w:uiPriority w:val="9"/>
    <w:semiHidden/>
    <w:rsid w:val="000B03EB"/>
    <w:rPr>
      <w:rFonts w:asciiTheme="majorHAnsi" w:eastAsiaTheme="majorEastAsia" w:hAnsiTheme="majorHAnsi" w:cstheme="majorBidi"/>
      <w:i/>
      <w:iCs/>
      <w:color w:val="1F1F1F" w:themeColor="accent2" w:themeShade="80"/>
      <w:sz w:val="22"/>
      <w:szCs w:val="22"/>
    </w:rPr>
  </w:style>
  <w:style w:type="paragraph" w:styleId="Caption">
    <w:name w:val="caption"/>
    <w:basedOn w:val="Normal"/>
    <w:next w:val="Normal"/>
    <w:uiPriority w:val="35"/>
    <w:semiHidden/>
    <w:unhideWhenUsed/>
    <w:qFormat/>
    <w:rsid w:val="000B03E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B03E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B03EB"/>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B03E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B03EB"/>
    <w:rPr>
      <w:caps/>
      <w:color w:val="404040" w:themeColor="text1" w:themeTint="BF"/>
      <w:spacing w:val="20"/>
      <w:sz w:val="28"/>
      <w:szCs w:val="28"/>
    </w:rPr>
  </w:style>
  <w:style w:type="paragraph" w:styleId="TOCHeading">
    <w:name w:val="TOC Heading"/>
    <w:basedOn w:val="Heading1"/>
    <w:next w:val="Normal"/>
    <w:uiPriority w:val="39"/>
    <w:unhideWhenUsed/>
    <w:qFormat/>
    <w:rsid w:val="000B03EB"/>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pPr>
      <w:spacing w:after="0" w:line="240" w:lineRule="auto"/>
    </w:pPr>
    <w:tblPr>
      <w:tblStyleRowBandSize w:val="1"/>
      <w:tblStyleColBandSize w:val="1"/>
      <w:tblBorders>
        <w:top w:val="single" w:sz="4" w:space="0" w:color="8B8B8B" w:themeColor="accent1" w:themeTint="99"/>
        <w:left w:val="single" w:sz="4" w:space="0" w:color="8B8B8B" w:themeColor="accent1" w:themeTint="99"/>
        <w:bottom w:val="single" w:sz="4" w:space="0" w:color="8B8B8B" w:themeColor="accent1" w:themeTint="99"/>
        <w:right w:val="single" w:sz="4" w:space="0" w:color="8B8B8B" w:themeColor="accent1" w:themeTint="99"/>
        <w:insideH w:val="single" w:sz="4" w:space="0" w:color="8B8B8B" w:themeColor="accent1" w:themeTint="99"/>
        <w:insideV w:val="single" w:sz="4" w:space="0" w:color="8B8B8B"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1" w:themeFillTint="33"/>
      </w:tcPr>
    </w:tblStylePr>
    <w:tblStylePr w:type="band1Horz">
      <w:tblPr/>
      <w:tcPr>
        <w:shd w:val="clear" w:color="auto" w:fill="D8D8D8" w:themeFill="accent1" w:themeFillTint="33"/>
      </w:tcPr>
    </w:tblStylePr>
    <w:tblStylePr w:type="neCell">
      <w:tblPr/>
      <w:tcPr>
        <w:tcBorders>
          <w:bottom w:val="single" w:sz="4" w:space="0" w:color="8B8B8B" w:themeColor="accent1" w:themeTint="99"/>
        </w:tcBorders>
      </w:tcPr>
    </w:tblStylePr>
    <w:tblStylePr w:type="nwCell">
      <w:tblPr/>
      <w:tcPr>
        <w:tcBorders>
          <w:bottom w:val="single" w:sz="4" w:space="0" w:color="8B8B8B" w:themeColor="accent1" w:themeTint="99"/>
        </w:tcBorders>
      </w:tcPr>
    </w:tblStylePr>
    <w:tblStylePr w:type="seCell">
      <w:tblPr/>
      <w:tcPr>
        <w:tcBorders>
          <w:top w:val="single" w:sz="4" w:space="0" w:color="8B8B8B" w:themeColor="accent1" w:themeTint="99"/>
        </w:tcBorders>
      </w:tcPr>
    </w:tblStylePr>
    <w:tblStylePr w:type="swCell">
      <w:tblPr/>
      <w:tcPr>
        <w:tcBorders>
          <w:top w:val="single" w:sz="4" w:space="0" w:color="8B8B8B" w:themeColor="accent1" w:themeTint="99"/>
        </w:tcBorders>
      </w:tcPr>
    </w:tblStylePr>
  </w:style>
  <w:style w:type="table" w:customStyle="1" w:styleId="ListTable7Colorful-Accent11">
    <w:name w:val="List Table 7 Colorful - Accent 11"/>
    <w:basedOn w:val="TableNormal"/>
    <w:uiPriority w:val="52"/>
    <w:pPr>
      <w:spacing w:after="0" w:line="240" w:lineRule="auto"/>
    </w:pPr>
    <w:rPr>
      <w:color w:val="2F2F2F"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3F3F3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3F3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3F3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3F3F" w:themeColor="accent1"/>
        </w:tcBorders>
        <w:shd w:val="clear" w:color="auto" w:fill="FFFFFF" w:themeFill="background1"/>
      </w:tcPr>
    </w:tblStylePr>
    <w:tblStylePr w:type="band1Vert">
      <w:tblPr/>
      <w:tcPr>
        <w:shd w:val="clear" w:color="auto" w:fill="D8D8D8" w:themeFill="accent1" w:themeFillTint="33"/>
      </w:tcPr>
    </w:tblStylePr>
    <w:tblStylePr w:type="band1Horz">
      <w:tblPr/>
      <w:tcPr>
        <w:shd w:val="clear" w:color="auto" w:fill="D8D8D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D8D8D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3F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3F3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3F3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3F3F" w:themeFill="accent1"/>
      </w:tcPr>
    </w:tblStylePr>
    <w:tblStylePr w:type="band1Vert">
      <w:tblPr/>
      <w:tcPr>
        <w:shd w:val="clear" w:color="auto" w:fill="B2B2B2" w:themeFill="accent1" w:themeFillTint="66"/>
      </w:tcPr>
    </w:tblStylePr>
    <w:tblStylePr w:type="band1Horz">
      <w:tblPr/>
      <w:tcPr>
        <w:shd w:val="clear" w:color="auto" w:fill="B2B2B2" w:themeFill="accent1" w:themeFillTint="66"/>
      </w:tcPr>
    </w:tblStyle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CellMar>
        <w:top w:w="29" w:type="dxa"/>
        <w:bottom w:w="29" w:type="dxa"/>
      </w:tblCellMar>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TableNormal"/>
    <w:uiPriority w:val="47"/>
    <w:pPr>
      <w:spacing w:after="0" w:line="240" w:lineRule="auto"/>
    </w:pPr>
    <w:tblPr>
      <w:tblStyleRowBandSize w:val="1"/>
      <w:tblStyleColBandSize w:val="1"/>
      <w:tblBorders>
        <w:top w:val="single" w:sz="4" w:space="0" w:color="8B8B8B" w:themeColor="accent1" w:themeTint="99"/>
        <w:bottom w:val="single" w:sz="4" w:space="0" w:color="8B8B8B" w:themeColor="accent1" w:themeTint="99"/>
        <w:insideH w:val="single" w:sz="4" w:space="0" w:color="8B8B8B"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table" w:customStyle="1" w:styleId="ListTable1Light-Accent21">
    <w:name w:val="List Table 1 Light - Accent 2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8B8B8B" w:themeColor="accent2" w:themeTint="99"/>
        </w:tcBorders>
      </w:tcPr>
    </w:tblStylePr>
    <w:tblStylePr w:type="lastRow">
      <w:rPr>
        <w:b/>
        <w:bCs/>
      </w:rPr>
      <w:tblPr/>
      <w:tcPr>
        <w:tcBorders>
          <w:top w:val="single" w:sz="4" w:space="0" w:color="8B8B8B" w:themeColor="accent2" w:themeTint="99"/>
        </w:tcBorders>
      </w:tcPr>
    </w:tblStylePr>
    <w:tblStylePr w:type="firstCol">
      <w:rPr>
        <w:b/>
        <w:bCs/>
      </w:rPr>
    </w:tblStylePr>
    <w:tblStylePr w:type="lastCol">
      <w:rPr>
        <w:b/>
        <w:bCs/>
      </w:rPr>
    </w:tblStylePr>
    <w:tblStylePr w:type="band1Vert">
      <w:tblPr/>
      <w:tcPr>
        <w:shd w:val="clear" w:color="auto" w:fill="D8D8D8" w:themeFill="accent2" w:themeFillTint="33"/>
      </w:tcPr>
    </w:tblStylePr>
    <w:tblStylePr w:type="band1Horz">
      <w:tblPr/>
      <w:tcPr>
        <w:shd w:val="clear" w:color="auto" w:fill="D8D8D8" w:themeFill="accent2" w:themeFillTint="33"/>
      </w:tcPr>
    </w:tblStylePr>
  </w:style>
  <w:style w:type="character" w:styleId="PlaceholderText">
    <w:name w:val="Placeholder Text"/>
    <w:basedOn w:val="DefaultParagraphFont"/>
    <w:uiPriority w:val="2"/>
    <w:rPr>
      <w:i/>
      <w:iCs/>
      <w:color w:val="80808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8B8B8B" w:themeColor="accent1" w:themeTint="99"/>
        <w:left w:val="single" w:sz="4" w:space="0" w:color="8B8B8B" w:themeColor="accent1" w:themeTint="99"/>
        <w:bottom w:val="single" w:sz="4" w:space="0" w:color="8B8B8B" w:themeColor="accent1" w:themeTint="99"/>
        <w:right w:val="single" w:sz="4" w:space="0" w:color="8B8B8B" w:themeColor="accent1" w:themeTint="99"/>
        <w:insideH w:val="single" w:sz="4" w:space="0" w:color="8B8B8B" w:themeColor="accent1" w:themeTint="99"/>
        <w:insideV w:val="single" w:sz="4" w:space="0" w:color="8B8B8B" w:themeColor="accent1" w:themeTint="99"/>
      </w:tblBorders>
      <w:tblCellMar>
        <w:top w:w="29" w:type="dxa"/>
        <w:bottom w:w="29" w:type="dxa"/>
      </w:tblCellMar>
    </w:tblPr>
    <w:tblStylePr w:type="firstRow">
      <w:rPr>
        <w:b/>
        <w:bCs/>
        <w:color w:val="FFFFFF" w:themeColor="background1"/>
      </w:rPr>
      <w:tblPr/>
      <w:tcPr>
        <w:tcBorders>
          <w:top w:val="single" w:sz="4" w:space="0" w:color="3F3F3F" w:themeColor="accent1"/>
          <w:left w:val="single" w:sz="4" w:space="0" w:color="3F3F3F" w:themeColor="accent1"/>
          <w:bottom w:val="single" w:sz="4" w:space="0" w:color="3F3F3F" w:themeColor="accent1"/>
          <w:right w:val="single" w:sz="4" w:space="0" w:color="3F3F3F" w:themeColor="accent1"/>
          <w:insideH w:val="nil"/>
          <w:insideV w:val="nil"/>
        </w:tcBorders>
        <w:shd w:val="clear" w:color="auto" w:fill="3F3F3F" w:themeFill="accent1"/>
      </w:tcPr>
    </w:tblStylePr>
    <w:tblStylePr w:type="lastRow">
      <w:rPr>
        <w:b/>
        <w:bCs/>
      </w:rPr>
      <w:tblPr/>
      <w:tcPr>
        <w:tcBorders>
          <w:top w:val="double" w:sz="4" w:space="0" w:color="3F3F3F" w:themeColor="accent1"/>
        </w:tcBorders>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table" w:customStyle="1" w:styleId="GridTable4-Accent21">
    <w:name w:val="Grid Table 4 - Accent 21"/>
    <w:basedOn w:val="TableNormal"/>
    <w:uiPriority w:val="49"/>
    <w:pPr>
      <w:spacing w:after="0" w:line="240" w:lineRule="auto"/>
    </w:pPr>
    <w:tblPr>
      <w:tblStyleRowBandSize w:val="1"/>
      <w:tblStyleColBandSize w:val="1"/>
      <w:tblBorders>
        <w:top w:val="single" w:sz="4" w:space="0" w:color="8B8B8B" w:themeColor="accent2" w:themeTint="99"/>
        <w:left w:val="single" w:sz="4" w:space="0" w:color="8B8B8B" w:themeColor="accent2" w:themeTint="99"/>
        <w:bottom w:val="single" w:sz="4" w:space="0" w:color="8B8B8B" w:themeColor="accent2" w:themeTint="99"/>
        <w:right w:val="single" w:sz="4" w:space="0" w:color="8B8B8B" w:themeColor="accent2" w:themeTint="99"/>
        <w:insideH w:val="single" w:sz="4" w:space="0" w:color="8B8B8B" w:themeColor="accent2" w:themeTint="99"/>
        <w:insideV w:val="single" w:sz="4" w:space="0" w:color="8B8B8B" w:themeColor="accent2" w:themeTint="99"/>
      </w:tblBorders>
      <w:tblCellMar>
        <w:top w:w="29" w:type="dxa"/>
        <w:bottom w:w="29" w:type="dxa"/>
      </w:tblCellMar>
    </w:tblPr>
    <w:tblStylePr w:type="firstRow">
      <w:rPr>
        <w:b/>
        <w:bCs/>
        <w:color w:val="FFFFFF" w:themeColor="background1"/>
      </w:rPr>
      <w:tblPr/>
      <w:tcPr>
        <w:tcBorders>
          <w:top w:val="single" w:sz="4" w:space="0" w:color="3F3F3F" w:themeColor="accent2"/>
          <w:left w:val="single" w:sz="4" w:space="0" w:color="3F3F3F" w:themeColor="accent2"/>
          <w:bottom w:val="single" w:sz="4" w:space="0" w:color="3F3F3F" w:themeColor="accent2"/>
          <w:right w:val="single" w:sz="4" w:space="0" w:color="3F3F3F" w:themeColor="accent2"/>
          <w:insideH w:val="nil"/>
          <w:insideV w:val="nil"/>
        </w:tcBorders>
        <w:shd w:val="clear" w:color="auto" w:fill="3F3F3F" w:themeFill="accent2"/>
      </w:tcPr>
    </w:tblStylePr>
    <w:tblStylePr w:type="lastRow">
      <w:rPr>
        <w:b/>
        <w:bCs/>
      </w:rPr>
      <w:tblPr/>
      <w:tcPr>
        <w:tcBorders>
          <w:top w:val="double" w:sz="4" w:space="0" w:color="3F3F3F" w:themeColor="accent2"/>
        </w:tcBorders>
      </w:tcPr>
    </w:tblStylePr>
    <w:tblStylePr w:type="firstCol">
      <w:rPr>
        <w:b/>
        <w:bCs/>
      </w:rPr>
    </w:tblStylePr>
    <w:tblStylePr w:type="lastCol">
      <w:rPr>
        <w:b/>
        <w:bCs/>
      </w:rPr>
    </w:tblStylePr>
    <w:tblStylePr w:type="band1Vert">
      <w:tblPr/>
      <w:tcPr>
        <w:shd w:val="clear" w:color="auto" w:fill="D8D8D8" w:themeFill="accent2" w:themeFillTint="33"/>
      </w:tcPr>
    </w:tblStylePr>
    <w:tblStylePr w:type="band1Horz">
      <w:tblPr/>
      <w:tcPr>
        <w:shd w:val="clear" w:color="auto" w:fill="D8D8D8" w:themeFill="accent2" w:themeFillTint="33"/>
      </w:tcPr>
    </w:tblStylePr>
  </w:style>
  <w:style w:type="table" w:customStyle="1" w:styleId="PlainTable41">
    <w:name w:val="Plain Table 41"/>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pPr>
      <w:spacing w:after="0" w:line="240" w:lineRule="auto"/>
    </w:pPr>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CellMar>
        <w:top w:w="29" w:type="dxa"/>
        <w:bottom w:w="29" w:type="dxa"/>
      </w:tblCellMar>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A0C7C5" w:themeColor="accent6" w:themeTint="99"/>
        </w:tcBorders>
      </w:tcPr>
    </w:tblStylePr>
    <w:tblStylePr w:type="lastRow">
      <w:rPr>
        <w:b/>
        <w:bCs/>
      </w:rPr>
      <w:tblPr/>
      <w:tcPr>
        <w:tcBorders>
          <w:top w:val="sing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customStyle="1" w:styleId="GridTable1Light-Accent11">
    <w:name w:val="Grid Table 1 Light - Accent 11"/>
    <w:aliases w:val="Sample questionnaires table"/>
    <w:basedOn w:val="TableNormal"/>
    <w:uiPriority w:val="46"/>
    <w:pPr>
      <w:spacing w:after="0" w:line="240" w:lineRule="auto"/>
    </w:pPr>
    <w:tblPr>
      <w:tblStyleRowBandSize w:val="1"/>
      <w:tblStyleColBandSize w:val="1"/>
      <w:tblBorders>
        <w:insideH w:val="single" w:sz="4" w:space="0" w:color="3F3F3F" w:themeColor="accent1"/>
      </w:tblBorders>
      <w:tblCellMar>
        <w:top w:w="29" w:type="dxa"/>
        <w:bottom w:w="29" w:type="dxa"/>
      </w:tblCellMar>
    </w:tblPr>
    <w:tblStylePr w:type="firstRow">
      <w:rPr>
        <w:b w:val="0"/>
        <w:bCs/>
      </w:rPr>
      <w:tblPr/>
      <w:tcPr>
        <w:tcBorders>
          <w:top w:val="nil"/>
          <w:left w:val="nil"/>
          <w:bottom w:val="single" w:sz="12" w:space="0" w:color="3F3F3F" w:themeColor="accent1"/>
          <w:right w:val="nil"/>
          <w:insideH w:val="nil"/>
          <w:insideV w:val="nil"/>
          <w:tl2br w:val="nil"/>
          <w:tr2bl w:val="nil"/>
        </w:tcBorders>
      </w:tcPr>
    </w:tblStylePr>
    <w:tblStylePr w:type="lastRow">
      <w:rPr>
        <w:b/>
        <w:bCs/>
      </w:rPr>
      <w:tblPr/>
      <w:tcPr>
        <w:tcBorders>
          <w:top w:val="double" w:sz="2" w:space="0" w:color="8B8B8B"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TableNormal"/>
    <w:uiPriority w:val="47"/>
    <w:pPr>
      <w:spacing w:after="0" w:line="240" w:lineRule="auto"/>
    </w:pPr>
    <w:tblPr>
      <w:tblStyleRowBandSize w:val="1"/>
      <w:tblStyleColBandSize w:val="1"/>
      <w:tblBorders>
        <w:top w:val="single" w:sz="2" w:space="0" w:color="8B8B8B" w:themeColor="accent1" w:themeTint="99"/>
        <w:bottom w:val="single" w:sz="2" w:space="0" w:color="8B8B8B" w:themeColor="accent1" w:themeTint="99"/>
        <w:insideH w:val="single" w:sz="2" w:space="0" w:color="8B8B8B" w:themeColor="accent1" w:themeTint="99"/>
        <w:insideV w:val="single" w:sz="2" w:space="0" w:color="8B8B8B" w:themeColor="accent1" w:themeTint="99"/>
      </w:tblBorders>
      <w:tblCellMar>
        <w:top w:w="29" w:type="dxa"/>
        <w:bottom w:w="29" w:type="dxa"/>
      </w:tblCellMar>
    </w:tblPr>
    <w:tblStylePr w:type="firstRow">
      <w:rPr>
        <w:b/>
        <w:bCs/>
      </w:rPr>
      <w:tblPr/>
      <w:tcPr>
        <w:tcBorders>
          <w:top w:val="nil"/>
          <w:bottom w:val="single" w:sz="12" w:space="0" w:color="8B8B8B" w:themeColor="accent1" w:themeTint="99"/>
          <w:insideH w:val="nil"/>
          <w:insideV w:val="nil"/>
        </w:tcBorders>
        <w:shd w:val="clear" w:color="auto" w:fill="FFFFFF" w:themeFill="background1"/>
      </w:tcPr>
    </w:tblStylePr>
    <w:tblStylePr w:type="lastRow">
      <w:rPr>
        <w:b/>
        <w:bCs/>
      </w:rPr>
      <w:tblPr/>
      <w:tcPr>
        <w:tcBorders>
          <w:top w:val="double" w:sz="2" w:space="0" w:color="8B8B8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paragraph" w:customStyle="1" w:styleId="Logo">
    <w:name w:val="Logo"/>
    <w:basedOn w:val="Normal"/>
    <w:next w:val="Normal"/>
    <w:uiPriority w:val="1"/>
    <w:rsid w:val="00A638EC"/>
    <w:pPr>
      <w:spacing w:before="4700" w:after="1440"/>
      <w:jc w:val="right"/>
    </w:pPr>
    <w:rPr>
      <w:color w:val="264356"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rsid w:val="00290347"/>
    <w:pPr>
      <w:spacing w:before="1680"/>
      <w:contextualSpacing/>
      <w:jc w:val="right"/>
    </w:pPr>
    <w:rPr>
      <w:caps/>
    </w:rPr>
  </w:style>
  <w:style w:type="table" w:customStyle="1" w:styleId="GridTable3-Accent31">
    <w:name w:val="Grid Table 3 - Accent 31"/>
    <w:basedOn w:val="TableNormal"/>
    <w:uiPriority w:val="48"/>
    <w:pPr>
      <w:spacing w:after="0" w:line="240" w:lineRule="auto"/>
    </w:pPr>
    <w:tblPr>
      <w:tblStyleRowBandSize w:val="1"/>
      <w:tblStyleColBandSize w:val="1"/>
      <w:tblBorders>
        <w:top w:val="single" w:sz="4" w:space="0" w:color="36FF90" w:themeColor="accent3" w:themeTint="99"/>
        <w:left w:val="single" w:sz="4" w:space="0" w:color="36FF90" w:themeColor="accent3" w:themeTint="99"/>
        <w:bottom w:val="single" w:sz="4" w:space="0" w:color="36FF90" w:themeColor="accent3" w:themeTint="99"/>
        <w:right w:val="single" w:sz="4" w:space="0" w:color="36FF90" w:themeColor="accent3" w:themeTint="99"/>
        <w:insideH w:val="single" w:sz="4" w:space="0" w:color="36FF90" w:themeColor="accent3" w:themeTint="99"/>
        <w:insideV w:val="single" w:sz="4" w:space="0" w:color="36FF9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3" w:themeFillTint="33"/>
      </w:tcPr>
    </w:tblStylePr>
    <w:tblStylePr w:type="band1Horz">
      <w:tblPr/>
      <w:tcPr>
        <w:shd w:val="clear" w:color="auto" w:fill="BCFFDA" w:themeFill="accent3" w:themeFillTint="33"/>
      </w:tcPr>
    </w:tblStylePr>
    <w:tblStylePr w:type="neCell">
      <w:tblPr/>
      <w:tcPr>
        <w:tcBorders>
          <w:bottom w:val="single" w:sz="4" w:space="0" w:color="36FF90" w:themeColor="accent3" w:themeTint="99"/>
        </w:tcBorders>
      </w:tcPr>
    </w:tblStylePr>
    <w:tblStylePr w:type="nwCell">
      <w:tblPr/>
      <w:tcPr>
        <w:tcBorders>
          <w:bottom w:val="single" w:sz="4" w:space="0" w:color="36FF90" w:themeColor="accent3" w:themeTint="99"/>
        </w:tcBorders>
      </w:tcPr>
    </w:tblStylePr>
    <w:tblStylePr w:type="seCell">
      <w:tblPr/>
      <w:tcPr>
        <w:tcBorders>
          <w:top w:val="single" w:sz="4" w:space="0" w:color="36FF90" w:themeColor="accent3" w:themeTint="99"/>
        </w:tcBorders>
      </w:tcPr>
    </w:tblStylePr>
    <w:tblStylePr w:type="swCell">
      <w:tblPr/>
      <w:tcPr>
        <w:tcBorders>
          <w:top w:val="single" w:sz="4" w:space="0" w:color="36FF90" w:themeColor="accent3" w:themeTint="99"/>
        </w:tcBorders>
      </w:tcPr>
    </w:tblStylePr>
  </w:style>
  <w:style w:type="table" w:customStyle="1" w:styleId="GridTable5Dark-Accent31">
    <w:name w:val="Grid Table 5 Dark - Acc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3"/>
      </w:tcPr>
    </w:tblStylePr>
    <w:tblStylePr w:type="band1Vert">
      <w:tblPr/>
      <w:tcPr>
        <w:shd w:val="clear" w:color="auto" w:fill="79FFB5" w:themeFill="accent3" w:themeFillTint="66"/>
      </w:tcPr>
    </w:tblStylePr>
    <w:tblStylePr w:type="band1Horz">
      <w:tblPr/>
      <w:tcPr>
        <w:shd w:val="clear" w:color="auto" w:fill="79FFB5" w:themeFill="accent3" w:themeFillTint="66"/>
      </w:tcPr>
    </w:tblStyle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79FFB5" w:themeColor="accent3" w:themeTint="66"/>
        <w:left w:val="single" w:sz="4" w:space="0" w:color="79FFB5" w:themeColor="accent3" w:themeTint="66"/>
        <w:bottom w:val="single" w:sz="4" w:space="0" w:color="79FFB5" w:themeColor="accent3" w:themeTint="66"/>
        <w:right w:val="single" w:sz="4" w:space="0" w:color="79FFB5" w:themeColor="accent3" w:themeTint="66"/>
        <w:insideH w:val="single" w:sz="4" w:space="0" w:color="79FFB5" w:themeColor="accent3" w:themeTint="66"/>
        <w:insideV w:val="single" w:sz="4" w:space="0" w:color="79FFB5" w:themeColor="accent3" w:themeTint="66"/>
      </w:tblBorders>
    </w:tblPr>
    <w:tblStylePr w:type="firstRow">
      <w:rPr>
        <w:b/>
        <w:bCs/>
      </w:rPr>
      <w:tblPr/>
      <w:tcPr>
        <w:tcBorders>
          <w:bottom w:val="single" w:sz="12" w:space="0" w:color="36FF90" w:themeColor="accent3" w:themeTint="99"/>
        </w:tcBorders>
      </w:tcPr>
    </w:tblStylePr>
    <w:tblStylePr w:type="lastRow">
      <w:rPr>
        <w:b/>
        <w:bCs/>
      </w:rPr>
      <w:tblPr/>
      <w:tcPr>
        <w:tcBorders>
          <w:top w:val="double" w:sz="2" w:space="0" w:color="36FF90"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pPr>
      <w:tabs>
        <w:tab w:val="center" w:pos="4680"/>
        <w:tab w:val="right" w:pos="9360"/>
      </w:tabs>
      <w:jc w:val="right"/>
    </w:pPr>
  </w:style>
  <w:style w:type="paragraph" w:styleId="Signature">
    <w:name w:val="Signature"/>
    <w:basedOn w:val="Normal"/>
    <w:link w:val="SignatureChar"/>
    <w:uiPriority w:val="1"/>
    <w:rsid w:val="006E67C4"/>
    <w:pPr>
      <w:pBdr>
        <w:top w:val="single" w:sz="2" w:space="1" w:color="auto"/>
      </w:pBdr>
      <w:spacing w:after="360"/>
      <w:jc w:val="center"/>
    </w:pPr>
    <w:rPr>
      <w:sz w:val="16"/>
      <w:szCs w:val="16"/>
    </w:rPr>
  </w:style>
  <w:style w:type="character" w:customStyle="1" w:styleId="SignatureChar">
    <w:name w:val="Signature Char"/>
    <w:basedOn w:val="DefaultParagraphFont"/>
    <w:link w:val="Signature"/>
    <w:uiPriority w:val="1"/>
    <w:rsid w:val="006E67C4"/>
    <w:rPr>
      <w:kern w:val="0"/>
      <w:sz w:val="16"/>
      <w:szCs w:val="16"/>
      <w14:ligatures w14:val="none"/>
    </w:rPr>
  </w:style>
  <w:style w:type="paragraph" w:customStyle="1" w:styleId="Sign-off">
    <w:name w:val="Sign-off"/>
    <w:basedOn w:val="Normal"/>
    <w:uiPriority w:val="1"/>
    <w:pPr>
      <w:jc w:val="center"/>
    </w:pPr>
    <w:rPr>
      <w:sz w:val="20"/>
      <w:szCs w:val="20"/>
    </w:rPr>
  </w:style>
  <w:style w:type="paragraph" w:customStyle="1" w:styleId="Rightalign">
    <w:name w:val="Right align"/>
    <w:basedOn w:val="Normal"/>
    <w:uiPriority w:val="1"/>
    <w:pPr>
      <w:jc w:val="right"/>
    </w:pPr>
  </w:style>
  <w:style w:type="table" w:customStyle="1" w:styleId="GridTable1Light-Accent21">
    <w:name w:val="Grid Table 1 Light - Accent 21"/>
    <w:basedOn w:val="TableNormal"/>
    <w:uiPriority w:val="46"/>
    <w:pPr>
      <w:spacing w:after="0" w:line="240" w:lineRule="auto"/>
    </w:pPr>
    <w:tblPr>
      <w:tblStyleRowBandSize w:val="1"/>
      <w:tblStyleColBandSize w:val="1"/>
      <w:tblBorders>
        <w:top w:val="single" w:sz="4" w:space="0" w:color="B2B2B2" w:themeColor="accent2" w:themeTint="66"/>
        <w:left w:val="single" w:sz="4" w:space="0" w:color="B2B2B2" w:themeColor="accent2" w:themeTint="66"/>
        <w:bottom w:val="single" w:sz="4" w:space="0" w:color="B2B2B2" w:themeColor="accent2" w:themeTint="66"/>
        <w:right w:val="single" w:sz="4" w:space="0" w:color="B2B2B2" w:themeColor="accent2" w:themeTint="66"/>
        <w:insideH w:val="single" w:sz="4" w:space="0" w:color="B2B2B2" w:themeColor="accent2" w:themeTint="66"/>
        <w:insideV w:val="single" w:sz="4" w:space="0" w:color="B2B2B2" w:themeColor="accent2" w:themeTint="66"/>
      </w:tblBorders>
    </w:tblPr>
    <w:tblStylePr w:type="firstRow">
      <w:rPr>
        <w:b/>
        <w:bCs/>
      </w:rPr>
      <w:tblPr/>
      <w:tcPr>
        <w:tcBorders>
          <w:bottom w:val="single" w:sz="12" w:space="0" w:color="8B8B8B" w:themeColor="accent2" w:themeTint="99"/>
        </w:tcBorders>
      </w:tcPr>
    </w:tblStylePr>
    <w:tblStylePr w:type="lastRow">
      <w:rPr>
        <w:b/>
        <w:bCs/>
      </w:rPr>
      <w:tblPr/>
      <w:tcPr>
        <w:tcBorders>
          <w:top w:val="double" w:sz="2" w:space="0" w:color="8B8B8B" w:themeColor="accent2"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ListBullet">
    <w:name w:val="List Bullet"/>
    <w:basedOn w:val="Normal"/>
    <w:uiPriority w:val="1"/>
    <w:unhideWhenUsed/>
    <w:pPr>
      <w:numPr>
        <w:numId w:val="1"/>
      </w:numPr>
      <w:ind w:left="432"/>
      <w:contextualSpacing/>
    </w:pPr>
  </w:style>
  <w:style w:type="character" w:styleId="IntenseEmphasis">
    <w:name w:val="Intense Emphasis"/>
    <w:basedOn w:val="DefaultParagraphFont"/>
    <w:uiPriority w:val="21"/>
    <w:qFormat/>
    <w:rsid w:val="000B03EB"/>
    <w:rPr>
      <w:b/>
      <w:bCs/>
      <w:i/>
      <w:iCs/>
      <w:caps w:val="0"/>
      <w:smallCaps w:val="0"/>
      <w:strike w:val="0"/>
      <w:dstrike w:val="0"/>
      <w:color w:val="3F3F3F" w:themeColor="accent2"/>
    </w:rPr>
  </w:style>
  <w:style w:type="paragraph" w:styleId="IntenseQuote">
    <w:name w:val="Intense Quote"/>
    <w:basedOn w:val="Normal"/>
    <w:next w:val="Normal"/>
    <w:link w:val="IntenseQuoteChar"/>
    <w:uiPriority w:val="30"/>
    <w:qFormat/>
    <w:rsid w:val="000B03EB"/>
    <w:pPr>
      <w:pBdr>
        <w:top w:val="single" w:sz="24" w:space="4" w:color="3F3F3F"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B03EB"/>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0B03EB"/>
    <w:rPr>
      <w:b/>
      <w:bCs/>
      <w:caps w:val="0"/>
      <w:smallCaps/>
      <w:color w:val="auto"/>
      <w:spacing w:val="0"/>
      <w:u w:val="single"/>
    </w:rPr>
  </w:style>
  <w:style w:type="paragraph" w:styleId="BlockText">
    <w:name w:val="Block Text"/>
    <w:basedOn w:val="Normal"/>
    <w:uiPriority w:val="99"/>
    <w:semiHidden/>
    <w:unhideWhenUsed/>
    <w:rsid w:val="005A54FA"/>
    <w:pPr>
      <w:pBdr>
        <w:top w:val="single" w:sz="2" w:space="10" w:color="1F1F1F" w:themeColor="accent1" w:themeShade="80"/>
        <w:left w:val="single" w:sz="2" w:space="10" w:color="1F1F1F" w:themeColor="accent1" w:themeShade="80"/>
        <w:bottom w:val="single" w:sz="2" w:space="10" w:color="1F1F1F" w:themeColor="accent1" w:themeShade="80"/>
        <w:right w:val="single" w:sz="2" w:space="10" w:color="1F1F1F" w:themeColor="accent1" w:themeShade="80"/>
      </w:pBdr>
      <w:ind w:left="1152" w:right="1152"/>
    </w:pPr>
    <w:rPr>
      <w:i/>
      <w:iCs/>
      <w:color w:val="1F1F1F" w:themeColor="accent1" w:themeShade="80"/>
    </w:rPr>
  </w:style>
  <w:style w:type="character" w:styleId="Hyperlink">
    <w:name w:val="Hyperlink"/>
    <w:basedOn w:val="DefaultParagraphFont"/>
    <w:uiPriority w:val="99"/>
    <w:unhideWhenUsed/>
    <w:rsid w:val="005A54FA"/>
    <w:rPr>
      <w:color w:val="215D4B" w:themeColor="accent4" w:themeShade="80"/>
      <w:u w:val="single"/>
    </w:rPr>
  </w:style>
  <w:style w:type="character" w:customStyle="1" w:styleId="UnresolvedMention1">
    <w:name w:val="Unresolved Mention1"/>
    <w:basedOn w:val="DefaultParagraphFont"/>
    <w:uiPriority w:val="99"/>
    <w:semiHidden/>
    <w:unhideWhenUsed/>
    <w:rsid w:val="005A54FA"/>
    <w:rPr>
      <w:color w:val="595959" w:themeColor="text1" w:themeTint="A6"/>
      <w:shd w:val="clear" w:color="auto" w:fill="E6E6E6"/>
    </w:rPr>
  </w:style>
  <w:style w:type="character" w:styleId="Emphasis">
    <w:name w:val="Emphasis"/>
    <w:basedOn w:val="DefaultParagraphFont"/>
    <w:uiPriority w:val="20"/>
    <w:qFormat/>
    <w:rsid w:val="000B03EB"/>
    <w:rPr>
      <w:i/>
      <w:iCs/>
      <w:color w:val="000000" w:themeColor="text1"/>
    </w:rPr>
  </w:style>
  <w:style w:type="paragraph" w:customStyle="1" w:styleId="Text1">
    <w:name w:val="Text 1"/>
    <w:basedOn w:val="Normal"/>
    <w:rsid w:val="000D3084"/>
    <w:pPr>
      <w:spacing w:after="120"/>
      <w:jc w:val="both"/>
    </w:pPr>
    <w:rPr>
      <w:rFonts w:ascii="Times New Roman" w:eastAsia="Times New Roman" w:hAnsi="Times New Roman" w:cs="Times New Roman"/>
      <w:szCs w:val="20"/>
      <w:lang w:val="en-GB" w:eastAsia="en-US"/>
    </w:rPr>
  </w:style>
  <w:style w:type="paragraph" w:customStyle="1" w:styleId="Text2">
    <w:name w:val="Text 2"/>
    <w:basedOn w:val="Normal"/>
    <w:rsid w:val="000D3084"/>
    <w:pPr>
      <w:spacing w:after="120"/>
      <w:jc w:val="both"/>
    </w:pPr>
    <w:rPr>
      <w:rFonts w:ascii="Times New Roman" w:eastAsia="Times New Roman" w:hAnsi="Times New Roman" w:cs="Times New Roman"/>
      <w:szCs w:val="20"/>
      <w:lang w:val="en-GB" w:eastAsia="en-US"/>
    </w:rPr>
  </w:style>
  <w:style w:type="paragraph" w:customStyle="1" w:styleId="ZDGName">
    <w:name w:val="Z_DGName"/>
    <w:basedOn w:val="Normal"/>
    <w:uiPriority w:val="99"/>
    <w:rsid w:val="000D3084"/>
    <w:pPr>
      <w:widowControl w:val="0"/>
      <w:autoSpaceDE w:val="0"/>
      <w:autoSpaceDN w:val="0"/>
      <w:ind w:right="85"/>
    </w:pPr>
    <w:rPr>
      <w:rFonts w:ascii="Arial" w:hAnsi="Arial" w:cs="Arial"/>
      <w:sz w:val="16"/>
      <w:szCs w:val="16"/>
      <w:lang w:val="en-GB" w:eastAsia="en-GB"/>
    </w:rPr>
  </w:style>
  <w:style w:type="table" w:customStyle="1" w:styleId="TableGrid7">
    <w:name w:val="Table Grid7"/>
    <w:basedOn w:val="TableNormal"/>
    <w:uiPriority w:val="59"/>
    <w:rsid w:val="000D3084"/>
    <w:pPr>
      <w:spacing w:after="0" w:line="240" w:lineRule="auto"/>
    </w:pPr>
    <w:rPr>
      <w:rFonts w:ascii="Calibri" w:eastAsia="Calibri" w:hAnsi="Calibri"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D3084"/>
    <w:pPr>
      <w:spacing w:after="100"/>
    </w:pPr>
  </w:style>
  <w:style w:type="paragraph" w:styleId="TOC2">
    <w:name w:val="toc 2"/>
    <w:basedOn w:val="Normal"/>
    <w:next w:val="Normal"/>
    <w:autoRedefine/>
    <w:uiPriority w:val="39"/>
    <w:unhideWhenUsed/>
    <w:rsid w:val="000D3084"/>
    <w:pPr>
      <w:spacing w:after="100"/>
      <w:ind w:left="220"/>
    </w:pPr>
  </w:style>
  <w:style w:type="table" w:customStyle="1" w:styleId="PlainTable11">
    <w:name w:val="Plain Table 11"/>
    <w:basedOn w:val="TableNormal"/>
    <w:uiPriority w:val="41"/>
    <w:rsid w:val="000B03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0B03EB"/>
    <w:rPr>
      <w:b/>
      <w:bCs/>
    </w:rPr>
  </w:style>
  <w:style w:type="paragraph" w:styleId="NoSpacing">
    <w:name w:val="No Spacing"/>
    <w:uiPriority w:val="1"/>
    <w:qFormat/>
    <w:rsid w:val="000B03EB"/>
    <w:pPr>
      <w:spacing w:after="0" w:line="240" w:lineRule="auto"/>
    </w:pPr>
  </w:style>
  <w:style w:type="paragraph" w:styleId="Quote">
    <w:name w:val="Quote"/>
    <w:basedOn w:val="Normal"/>
    <w:next w:val="Normal"/>
    <w:link w:val="QuoteChar"/>
    <w:uiPriority w:val="29"/>
    <w:qFormat/>
    <w:rsid w:val="000B03E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B03EB"/>
    <w:rPr>
      <w:rFonts w:asciiTheme="majorHAnsi" w:eastAsiaTheme="majorEastAsia" w:hAnsiTheme="majorHAnsi" w:cstheme="majorBidi"/>
      <w:color w:val="000000" w:themeColor="text1"/>
      <w:sz w:val="24"/>
      <w:szCs w:val="24"/>
    </w:rPr>
  </w:style>
  <w:style w:type="character" w:styleId="SubtleEmphasis">
    <w:name w:val="Subtle Emphasis"/>
    <w:basedOn w:val="DefaultParagraphFont"/>
    <w:uiPriority w:val="19"/>
    <w:qFormat/>
    <w:rsid w:val="000B03EB"/>
    <w:rPr>
      <w:i/>
      <w:iCs/>
      <w:color w:val="595959" w:themeColor="text1" w:themeTint="A6"/>
    </w:rPr>
  </w:style>
  <w:style w:type="character" w:styleId="SubtleReference">
    <w:name w:val="Subtle Reference"/>
    <w:basedOn w:val="DefaultParagraphFont"/>
    <w:uiPriority w:val="31"/>
    <w:qFormat/>
    <w:rsid w:val="000B03E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0B03EB"/>
    <w:rPr>
      <w:b/>
      <w:bCs/>
      <w:caps w:val="0"/>
      <w:smallCaps/>
      <w:spacing w:val="0"/>
    </w:rPr>
  </w:style>
  <w:style w:type="paragraph" w:styleId="BalloonText">
    <w:name w:val="Balloon Text"/>
    <w:basedOn w:val="Normal"/>
    <w:link w:val="BalloonTextChar"/>
    <w:uiPriority w:val="99"/>
    <w:semiHidden/>
    <w:unhideWhenUsed/>
    <w:rsid w:val="00001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9DB"/>
    <w:rPr>
      <w:rFonts w:ascii="Tahoma" w:hAnsi="Tahoma" w:cs="Tahoma"/>
      <w:sz w:val="16"/>
      <w:szCs w:val="16"/>
    </w:rPr>
  </w:style>
  <w:style w:type="paragraph" w:styleId="ListParagraph">
    <w:name w:val="List Paragraph"/>
    <w:basedOn w:val="Normal"/>
    <w:uiPriority w:val="34"/>
    <w:qFormat/>
    <w:rsid w:val="00202C47"/>
    <w:pPr>
      <w:ind w:left="720"/>
      <w:contextualSpacing/>
    </w:pPr>
  </w:style>
  <w:style w:type="character" w:styleId="FollowedHyperlink">
    <w:name w:val="FollowedHyperlink"/>
    <w:basedOn w:val="DefaultParagraphFont"/>
    <w:uiPriority w:val="99"/>
    <w:semiHidden/>
    <w:unhideWhenUsed/>
    <w:rsid w:val="00FB2E87"/>
    <w:rPr>
      <w:color w:val="B26B02" w:themeColor="followedHyperlink"/>
      <w:u w:val="single"/>
    </w:rPr>
  </w:style>
  <w:style w:type="character" w:styleId="CommentReference">
    <w:name w:val="annotation reference"/>
    <w:basedOn w:val="DefaultParagraphFont"/>
    <w:uiPriority w:val="99"/>
    <w:semiHidden/>
    <w:unhideWhenUsed/>
    <w:rsid w:val="00355F80"/>
    <w:rPr>
      <w:sz w:val="16"/>
      <w:szCs w:val="16"/>
    </w:rPr>
  </w:style>
  <w:style w:type="paragraph" w:styleId="CommentText">
    <w:name w:val="annotation text"/>
    <w:basedOn w:val="Normal"/>
    <w:link w:val="CommentTextChar"/>
    <w:uiPriority w:val="99"/>
    <w:unhideWhenUsed/>
    <w:rsid w:val="00355F80"/>
    <w:pPr>
      <w:spacing w:line="240" w:lineRule="auto"/>
    </w:pPr>
    <w:rPr>
      <w:sz w:val="20"/>
      <w:szCs w:val="20"/>
    </w:rPr>
  </w:style>
  <w:style w:type="character" w:customStyle="1" w:styleId="CommentTextChar">
    <w:name w:val="Comment Text Char"/>
    <w:basedOn w:val="DefaultParagraphFont"/>
    <w:link w:val="CommentText"/>
    <w:uiPriority w:val="99"/>
    <w:rsid w:val="00355F80"/>
    <w:rPr>
      <w:sz w:val="20"/>
      <w:szCs w:val="20"/>
    </w:rPr>
  </w:style>
  <w:style w:type="paragraph" w:styleId="CommentSubject">
    <w:name w:val="annotation subject"/>
    <w:basedOn w:val="CommentText"/>
    <w:next w:val="CommentText"/>
    <w:link w:val="CommentSubjectChar"/>
    <w:uiPriority w:val="99"/>
    <w:semiHidden/>
    <w:unhideWhenUsed/>
    <w:rsid w:val="00355F80"/>
    <w:rPr>
      <w:b/>
      <w:bCs/>
    </w:rPr>
  </w:style>
  <w:style w:type="character" w:customStyle="1" w:styleId="CommentSubjectChar">
    <w:name w:val="Comment Subject Char"/>
    <w:basedOn w:val="CommentTextChar"/>
    <w:link w:val="CommentSubject"/>
    <w:uiPriority w:val="99"/>
    <w:semiHidden/>
    <w:rsid w:val="00355F80"/>
    <w:rPr>
      <w:b/>
      <w:bCs/>
      <w:sz w:val="20"/>
      <w:szCs w:val="20"/>
    </w:rPr>
  </w:style>
  <w:style w:type="paragraph" w:styleId="NormalWeb">
    <w:name w:val="Normal (Web)"/>
    <w:basedOn w:val="Normal"/>
    <w:uiPriority w:val="99"/>
    <w:unhideWhenUsed/>
    <w:rsid w:val="003725A5"/>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apple-tab-span">
    <w:name w:val="apple-tab-span"/>
    <w:basedOn w:val="DefaultParagraphFont"/>
    <w:rsid w:val="00D61C7A"/>
  </w:style>
  <w:style w:type="paragraph" w:customStyle="1" w:styleId="Default">
    <w:name w:val="Default"/>
    <w:rsid w:val="00D861E7"/>
    <w:pPr>
      <w:autoSpaceDE w:val="0"/>
      <w:autoSpaceDN w:val="0"/>
      <w:adjustRightInd w:val="0"/>
      <w:spacing w:after="0" w:line="240" w:lineRule="auto"/>
    </w:pPr>
    <w:rPr>
      <w:rFonts w:ascii="Calibri" w:hAnsi="Calibri" w:cs="Calibri"/>
      <w:color w:val="000000"/>
      <w:sz w:val="24"/>
      <w:szCs w:val="24"/>
      <w:lang w:val="fi-FI"/>
    </w:rPr>
  </w:style>
  <w:style w:type="paragraph" w:styleId="TOC3">
    <w:name w:val="toc 3"/>
    <w:basedOn w:val="Normal"/>
    <w:next w:val="Normal"/>
    <w:autoRedefine/>
    <w:uiPriority w:val="39"/>
    <w:unhideWhenUsed/>
    <w:rsid w:val="009D0AC7"/>
    <w:pPr>
      <w:spacing w:after="100"/>
      <w:ind w:left="420"/>
    </w:pPr>
  </w:style>
  <w:style w:type="paragraph" w:customStyle="1" w:styleId="BodytextAgency">
    <w:name w:val="Body text (Agency)"/>
    <w:basedOn w:val="Normal"/>
    <w:link w:val="BodytextAgencyChar"/>
    <w:qFormat/>
    <w:rsid w:val="00F6113F"/>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F6113F"/>
    <w:rPr>
      <w:rFonts w:ascii="Verdana" w:eastAsia="Verdana" w:hAnsi="Verdana" w:cs="Verdana"/>
      <w:sz w:val="18"/>
      <w:szCs w:val="18"/>
      <w:lang w:val="en-GB" w:eastAsia="en-GB"/>
    </w:rPr>
  </w:style>
  <w:style w:type="paragraph" w:styleId="FootnoteText">
    <w:name w:val="footnote text"/>
    <w:basedOn w:val="Normal"/>
    <w:link w:val="FootnoteTextChar"/>
    <w:uiPriority w:val="99"/>
    <w:semiHidden/>
    <w:unhideWhenUsed/>
    <w:rsid w:val="00E15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5EF3"/>
    <w:rPr>
      <w:sz w:val="20"/>
      <w:szCs w:val="20"/>
    </w:rPr>
  </w:style>
  <w:style w:type="character" w:styleId="FootnoteReference">
    <w:name w:val="footnote reference"/>
    <w:basedOn w:val="DefaultParagraphFont"/>
    <w:uiPriority w:val="99"/>
    <w:semiHidden/>
    <w:unhideWhenUsed/>
    <w:rsid w:val="00E15E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3375">
      <w:bodyDiv w:val="1"/>
      <w:marLeft w:val="0"/>
      <w:marRight w:val="0"/>
      <w:marTop w:val="0"/>
      <w:marBottom w:val="0"/>
      <w:divBdr>
        <w:top w:val="none" w:sz="0" w:space="0" w:color="auto"/>
        <w:left w:val="none" w:sz="0" w:space="0" w:color="auto"/>
        <w:bottom w:val="none" w:sz="0" w:space="0" w:color="auto"/>
        <w:right w:val="none" w:sz="0" w:space="0" w:color="auto"/>
      </w:divBdr>
    </w:div>
    <w:div w:id="157309386">
      <w:bodyDiv w:val="1"/>
      <w:marLeft w:val="0"/>
      <w:marRight w:val="0"/>
      <w:marTop w:val="0"/>
      <w:marBottom w:val="0"/>
      <w:divBdr>
        <w:top w:val="none" w:sz="0" w:space="0" w:color="auto"/>
        <w:left w:val="none" w:sz="0" w:space="0" w:color="auto"/>
        <w:bottom w:val="none" w:sz="0" w:space="0" w:color="auto"/>
        <w:right w:val="none" w:sz="0" w:space="0" w:color="auto"/>
      </w:divBdr>
    </w:div>
    <w:div w:id="197281322">
      <w:bodyDiv w:val="1"/>
      <w:marLeft w:val="0"/>
      <w:marRight w:val="0"/>
      <w:marTop w:val="0"/>
      <w:marBottom w:val="0"/>
      <w:divBdr>
        <w:top w:val="none" w:sz="0" w:space="0" w:color="auto"/>
        <w:left w:val="none" w:sz="0" w:space="0" w:color="auto"/>
        <w:bottom w:val="none" w:sz="0" w:space="0" w:color="auto"/>
        <w:right w:val="none" w:sz="0" w:space="0" w:color="auto"/>
      </w:divBdr>
    </w:div>
    <w:div w:id="207959136">
      <w:bodyDiv w:val="1"/>
      <w:marLeft w:val="0"/>
      <w:marRight w:val="0"/>
      <w:marTop w:val="0"/>
      <w:marBottom w:val="0"/>
      <w:divBdr>
        <w:top w:val="none" w:sz="0" w:space="0" w:color="auto"/>
        <w:left w:val="none" w:sz="0" w:space="0" w:color="auto"/>
        <w:bottom w:val="none" w:sz="0" w:space="0" w:color="auto"/>
        <w:right w:val="none" w:sz="0" w:space="0" w:color="auto"/>
      </w:divBdr>
    </w:div>
    <w:div w:id="292446901">
      <w:bodyDiv w:val="1"/>
      <w:marLeft w:val="0"/>
      <w:marRight w:val="0"/>
      <w:marTop w:val="0"/>
      <w:marBottom w:val="0"/>
      <w:divBdr>
        <w:top w:val="none" w:sz="0" w:space="0" w:color="auto"/>
        <w:left w:val="none" w:sz="0" w:space="0" w:color="auto"/>
        <w:bottom w:val="none" w:sz="0" w:space="0" w:color="auto"/>
        <w:right w:val="none" w:sz="0" w:space="0" w:color="auto"/>
      </w:divBdr>
    </w:div>
    <w:div w:id="372508207">
      <w:bodyDiv w:val="1"/>
      <w:marLeft w:val="0"/>
      <w:marRight w:val="0"/>
      <w:marTop w:val="0"/>
      <w:marBottom w:val="0"/>
      <w:divBdr>
        <w:top w:val="none" w:sz="0" w:space="0" w:color="auto"/>
        <w:left w:val="none" w:sz="0" w:space="0" w:color="auto"/>
        <w:bottom w:val="none" w:sz="0" w:space="0" w:color="auto"/>
        <w:right w:val="none" w:sz="0" w:space="0" w:color="auto"/>
      </w:divBdr>
    </w:div>
    <w:div w:id="397217835">
      <w:bodyDiv w:val="1"/>
      <w:marLeft w:val="0"/>
      <w:marRight w:val="0"/>
      <w:marTop w:val="0"/>
      <w:marBottom w:val="0"/>
      <w:divBdr>
        <w:top w:val="none" w:sz="0" w:space="0" w:color="auto"/>
        <w:left w:val="none" w:sz="0" w:space="0" w:color="auto"/>
        <w:bottom w:val="none" w:sz="0" w:space="0" w:color="auto"/>
        <w:right w:val="none" w:sz="0" w:space="0" w:color="auto"/>
      </w:divBdr>
    </w:div>
    <w:div w:id="410007996">
      <w:bodyDiv w:val="1"/>
      <w:marLeft w:val="0"/>
      <w:marRight w:val="0"/>
      <w:marTop w:val="0"/>
      <w:marBottom w:val="0"/>
      <w:divBdr>
        <w:top w:val="none" w:sz="0" w:space="0" w:color="auto"/>
        <w:left w:val="none" w:sz="0" w:space="0" w:color="auto"/>
        <w:bottom w:val="none" w:sz="0" w:space="0" w:color="auto"/>
        <w:right w:val="none" w:sz="0" w:space="0" w:color="auto"/>
      </w:divBdr>
    </w:div>
    <w:div w:id="427164679">
      <w:bodyDiv w:val="1"/>
      <w:marLeft w:val="0"/>
      <w:marRight w:val="0"/>
      <w:marTop w:val="0"/>
      <w:marBottom w:val="0"/>
      <w:divBdr>
        <w:top w:val="none" w:sz="0" w:space="0" w:color="auto"/>
        <w:left w:val="none" w:sz="0" w:space="0" w:color="auto"/>
        <w:bottom w:val="none" w:sz="0" w:space="0" w:color="auto"/>
        <w:right w:val="none" w:sz="0" w:space="0" w:color="auto"/>
      </w:divBdr>
    </w:div>
    <w:div w:id="435371813">
      <w:bodyDiv w:val="1"/>
      <w:marLeft w:val="0"/>
      <w:marRight w:val="0"/>
      <w:marTop w:val="0"/>
      <w:marBottom w:val="0"/>
      <w:divBdr>
        <w:top w:val="none" w:sz="0" w:space="0" w:color="auto"/>
        <w:left w:val="none" w:sz="0" w:space="0" w:color="auto"/>
        <w:bottom w:val="none" w:sz="0" w:space="0" w:color="auto"/>
        <w:right w:val="none" w:sz="0" w:space="0" w:color="auto"/>
      </w:divBdr>
    </w:div>
    <w:div w:id="492331093">
      <w:bodyDiv w:val="1"/>
      <w:marLeft w:val="0"/>
      <w:marRight w:val="0"/>
      <w:marTop w:val="0"/>
      <w:marBottom w:val="0"/>
      <w:divBdr>
        <w:top w:val="none" w:sz="0" w:space="0" w:color="auto"/>
        <w:left w:val="none" w:sz="0" w:space="0" w:color="auto"/>
        <w:bottom w:val="none" w:sz="0" w:space="0" w:color="auto"/>
        <w:right w:val="none" w:sz="0" w:space="0" w:color="auto"/>
      </w:divBdr>
      <w:divsChild>
        <w:div w:id="623923810">
          <w:marLeft w:val="720"/>
          <w:marRight w:val="0"/>
          <w:marTop w:val="0"/>
          <w:marBottom w:val="0"/>
          <w:divBdr>
            <w:top w:val="none" w:sz="0" w:space="0" w:color="auto"/>
            <w:left w:val="none" w:sz="0" w:space="0" w:color="auto"/>
            <w:bottom w:val="none" w:sz="0" w:space="0" w:color="auto"/>
            <w:right w:val="none" w:sz="0" w:space="0" w:color="auto"/>
          </w:divBdr>
        </w:div>
        <w:div w:id="1719351644">
          <w:marLeft w:val="720"/>
          <w:marRight w:val="0"/>
          <w:marTop w:val="0"/>
          <w:marBottom w:val="0"/>
          <w:divBdr>
            <w:top w:val="none" w:sz="0" w:space="0" w:color="auto"/>
            <w:left w:val="none" w:sz="0" w:space="0" w:color="auto"/>
            <w:bottom w:val="none" w:sz="0" w:space="0" w:color="auto"/>
            <w:right w:val="none" w:sz="0" w:space="0" w:color="auto"/>
          </w:divBdr>
        </w:div>
      </w:divsChild>
    </w:div>
    <w:div w:id="529614810">
      <w:bodyDiv w:val="1"/>
      <w:marLeft w:val="0"/>
      <w:marRight w:val="0"/>
      <w:marTop w:val="0"/>
      <w:marBottom w:val="0"/>
      <w:divBdr>
        <w:top w:val="none" w:sz="0" w:space="0" w:color="auto"/>
        <w:left w:val="none" w:sz="0" w:space="0" w:color="auto"/>
        <w:bottom w:val="none" w:sz="0" w:space="0" w:color="auto"/>
        <w:right w:val="none" w:sz="0" w:space="0" w:color="auto"/>
      </w:divBdr>
    </w:div>
    <w:div w:id="559831040">
      <w:bodyDiv w:val="1"/>
      <w:marLeft w:val="0"/>
      <w:marRight w:val="0"/>
      <w:marTop w:val="0"/>
      <w:marBottom w:val="0"/>
      <w:divBdr>
        <w:top w:val="none" w:sz="0" w:space="0" w:color="auto"/>
        <w:left w:val="none" w:sz="0" w:space="0" w:color="auto"/>
        <w:bottom w:val="none" w:sz="0" w:space="0" w:color="auto"/>
        <w:right w:val="none" w:sz="0" w:space="0" w:color="auto"/>
      </w:divBdr>
    </w:div>
    <w:div w:id="582222558">
      <w:bodyDiv w:val="1"/>
      <w:marLeft w:val="0"/>
      <w:marRight w:val="0"/>
      <w:marTop w:val="0"/>
      <w:marBottom w:val="0"/>
      <w:divBdr>
        <w:top w:val="none" w:sz="0" w:space="0" w:color="auto"/>
        <w:left w:val="none" w:sz="0" w:space="0" w:color="auto"/>
        <w:bottom w:val="none" w:sz="0" w:space="0" w:color="auto"/>
        <w:right w:val="none" w:sz="0" w:space="0" w:color="auto"/>
      </w:divBdr>
    </w:div>
    <w:div w:id="586962416">
      <w:bodyDiv w:val="1"/>
      <w:marLeft w:val="0"/>
      <w:marRight w:val="0"/>
      <w:marTop w:val="0"/>
      <w:marBottom w:val="0"/>
      <w:divBdr>
        <w:top w:val="none" w:sz="0" w:space="0" w:color="auto"/>
        <w:left w:val="none" w:sz="0" w:space="0" w:color="auto"/>
        <w:bottom w:val="none" w:sz="0" w:space="0" w:color="auto"/>
        <w:right w:val="none" w:sz="0" w:space="0" w:color="auto"/>
      </w:divBdr>
    </w:div>
    <w:div w:id="608899709">
      <w:bodyDiv w:val="1"/>
      <w:marLeft w:val="0"/>
      <w:marRight w:val="0"/>
      <w:marTop w:val="0"/>
      <w:marBottom w:val="0"/>
      <w:divBdr>
        <w:top w:val="none" w:sz="0" w:space="0" w:color="auto"/>
        <w:left w:val="none" w:sz="0" w:space="0" w:color="auto"/>
        <w:bottom w:val="none" w:sz="0" w:space="0" w:color="auto"/>
        <w:right w:val="none" w:sz="0" w:space="0" w:color="auto"/>
      </w:divBdr>
    </w:div>
    <w:div w:id="625548231">
      <w:bodyDiv w:val="1"/>
      <w:marLeft w:val="0"/>
      <w:marRight w:val="0"/>
      <w:marTop w:val="0"/>
      <w:marBottom w:val="0"/>
      <w:divBdr>
        <w:top w:val="none" w:sz="0" w:space="0" w:color="auto"/>
        <w:left w:val="none" w:sz="0" w:space="0" w:color="auto"/>
        <w:bottom w:val="none" w:sz="0" w:space="0" w:color="auto"/>
        <w:right w:val="none" w:sz="0" w:space="0" w:color="auto"/>
      </w:divBdr>
      <w:divsChild>
        <w:div w:id="1091900635">
          <w:marLeft w:val="720"/>
          <w:marRight w:val="0"/>
          <w:marTop w:val="0"/>
          <w:marBottom w:val="0"/>
          <w:divBdr>
            <w:top w:val="none" w:sz="0" w:space="0" w:color="auto"/>
            <w:left w:val="none" w:sz="0" w:space="0" w:color="auto"/>
            <w:bottom w:val="none" w:sz="0" w:space="0" w:color="auto"/>
            <w:right w:val="none" w:sz="0" w:space="0" w:color="auto"/>
          </w:divBdr>
        </w:div>
      </w:divsChild>
    </w:div>
    <w:div w:id="636955148">
      <w:bodyDiv w:val="1"/>
      <w:marLeft w:val="0"/>
      <w:marRight w:val="0"/>
      <w:marTop w:val="0"/>
      <w:marBottom w:val="0"/>
      <w:divBdr>
        <w:top w:val="none" w:sz="0" w:space="0" w:color="auto"/>
        <w:left w:val="none" w:sz="0" w:space="0" w:color="auto"/>
        <w:bottom w:val="none" w:sz="0" w:space="0" w:color="auto"/>
        <w:right w:val="none" w:sz="0" w:space="0" w:color="auto"/>
      </w:divBdr>
      <w:divsChild>
        <w:div w:id="1535996393">
          <w:marLeft w:val="460"/>
          <w:marRight w:val="0"/>
          <w:marTop w:val="0"/>
          <w:marBottom w:val="0"/>
          <w:divBdr>
            <w:top w:val="none" w:sz="0" w:space="0" w:color="auto"/>
            <w:left w:val="none" w:sz="0" w:space="0" w:color="auto"/>
            <w:bottom w:val="none" w:sz="0" w:space="0" w:color="auto"/>
            <w:right w:val="none" w:sz="0" w:space="0" w:color="auto"/>
          </w:divBdr>
        </w:div>
      </w:divsChild>
    </w:div>
    <w:div w:id="700470749">
      <w:bodyDiv w:val="1"/>
      <w:marLeft w:val="0"/>
      <w:marRight w:val="0"/>
      <w:marTop w:val="0"/>
      <w:marBottom w:val="0"/>
      <w:divBdr>
        <w:top w:val="none" w:sz="0" w:space="0" w:color="auto"/>
        <w:left w:val="none" w:sz="0" w:space="0" w:color="auto"/>
        <w:bottom w:val="none" w:sz="0" w:space="0" w:color="auto"/>
        <w:right w:val="none" w:sz="0" w:space="0" w:color="auto"/>
      </w:divBdr>
    </w:div>
    <w:div w:id="700666251">
      <w:bodyDiv w:val="1"/>
      <w:marLeft w:val="0"/>
      <w:marRight w:val="0"/>
      <w:marTop w:val="0"/>
      <w:marBottom w:val="0"/>
      <w:divBdr>
        <w:top w:val="none" w:sz="0" w:space="0" w:color="auto"/>
        <w:left w:val="none" w:sz="0" w:space="0" w:color="auto"/>
        <w:bottom w:val="none" w:sz="0" w:space="0" w:color="auto"/>
        <w:right w:val="none" w:sz="0" w:space="0" w:color="auto"/>
      </w:divBdr>
    </w:div>
    <w:div w:id="763960922">
      <w:bodyDiv w:val="1"/>
      <w:marLeft w:val="0"/>
      <w:marRight w:val="0"/>
      <w:marTop w:val="0"/>
      <w:marBottom w:val="0"/>
      <w:divBdr>
        <w:top w:val="none" w:sz="0" w:space="0" w:color="auto"/>
        <w:left w:val="none" w:sz="0" w:space="0" w:color="auto"/>
        <w:bottom w:val="none" w:sz="0" w:space="0" w:color="auto"/>
        <w:right w:val="none" w:sz="0" w:space="0" w:color="auto"/>
      </w:divBdr>
    </w:div>
    <w:div w:id="806514472">
      <w:bodyDiv w:val="1"/>
      <w:marLeft w:val="0"/>
      <w:marRight w:val="0"/>
      <w:marTop w:val="0"/>
      <w:marBottom w:val="0"/>
      <w:divBdr>
        <w:top w:val="none" w:sz="0" w:space="0" w:color="auto"/>
        <w:left w:val="none" w:sz="0" w:space="0" w:color="auto"/>
        <w:bottom w:val="none" w:sz="0" w:space="0" w:color="auto"/>
        <w:right w:val="none" w:sz="0" w:space="0" w:color="auto"/>
      </w:divBdr>
    </w:div>
    <w:div w:id="867183506">
      <w:bodyDiv w:val="1"/>
      <w:marLeft w:val="0"/>
      <w:marRight w:val="0"/>
      <w:marTop w:val="0"/>
      <w:marBottom w:val="0"/>
      <w:divBdr>
        <w:top w:val="none" w:sz="0" w:space="0" w:color="auto"/>
        <w:left w:val="none" w:sz="0" w:space="0" w:color="auto"/>
        <w:bottom w:val="none" w:sz="0" w:space="0" w:color="auto"/>
        <w:right w:val="none" w:sz="0" w:space="0" w:color="auto"/>
      </w:divBdr>
    </w:div>
    <w:div w:id="906501065">
      <w:bodyDiv w:val="1"/>
      <w:marLeft w:val="0"/>
      <w:marRight w:val="0"/>
      <w:marTop w:val="0"/>
      <w:marBottom w:val="0"/>
      <w:divBdr>
        <w:top w:val="none" w:sz="0" w:space="0" w:color="auto"/>
        <w:left w:val="none" w:sz="0" w:space="0" w:color="auto"/>
        <w:bottom w:val="none" w:sz="0" w:space="0" w:color="auto"/>
        <w:right w:val="none" w:sz="0" w:space="0" w:color="auto"/>
      </w:divBdr>
    </w:div>
    <w:div w:id="912004306">
      <w:bodyDiv w:val="1"/>
      <w:marLeft w:val="0"/>
      <w:marRight w:val="0"/>
      <w:marTop w:val="0"/>
      <w:marBottom w:val="0"/>
      <w:divBdr>
        <w:top w:val="none" w:sz="0" w:space="0" w:color="auto"/>
        <w:left w:val="none" w:sz="0" w:space="0" w:color="auto"/>
        <w:bottom w:val="none" w:sz="0" w:space="0" w:color="auto"/>
        <w:right w:val="none" w:sz="0" w:space="0" w:color="auto"/>
      </w:divBdr>
    </w:div>
    <w:div w:id="974604599">
      <w:bodyDiv w:val="1"/>
      <w:marLeft w:val="0"/>
      <w:marRight w:val="0"/>
      <w:marTop w:val="0"/>
      <w:marBottom w:val="0"/>
      <w:divBdr>
        <w:top w:val="none" w:sz="0" w:space="0" w:color="auto"/>
        <w:left w:val="none" w:sz="0" w:space="0" w:color="auto"/>
        <w:bottom w:val="none" w:sz="0" w:space="0" w:color="auto"/>
        <w:right w:val="none" w:sz="0" w:space="0" w:color="auto"/>
      </w:divBdr>
    </w:div>
    <w:div w:id="1028945614">
      <w:bodyDiv w:val="1"/>
      <w:marLeft w:val="0"/>
      <w:marRight w:val="0"/>
      <w:marTop w:val="0"/>
      <w:marBottom w:val="0"/>
      <w:divBdr>
        <w:top w:val="none" w:sz="0" w:space="0" w:color="auto"/>
        <w:left w:val="none" w:sz="0" w:space="0" w:color="auto"/>
        <w:bottom w:val="none" w:sz="0" w:space="0" w:color="auto"/>
        <w:right w:val="none" w:sz="0" w:space="0" w:color="auto"/>
      </w:divBdr>
      <w:divsChild>
        <w:div w:id="2016377803">
          <w:marLeft w:val="-30"/>
          <w:marRight w:val="0"/>
          <w:marTop w:val="0"/>
          <w:marBottom w:val="0"/>
          <w:divBdr>
            <w:top w:val="none" w:sz="0" w:space="0" w:color="auto"/>
            <w:left w:val="none" w:sz="0" w:space="0" w:color="auto"/>
            <w:bottom w:val="none" w:sz="0" w:space="0" w:color="auto"/>
            <w:right w:val="none" w:sz="0" w:space="0" w:color="auto"/>
          </w:divBdr>
        </w:div>
      </w:divsChild>
    </w:div>
    <w:div w:id="1093933904">
      <w:bodyDiv w:val="1"/>
      <w:marLeft w:val="0"/>
      <w:marRight w:val="0"/>
      <w:marTop w:val="0"/>
      <w:marBottom w:val="0"/>
      <w:divBdr>
        <w:top w:val="none" w:sz="0" w:space="0" w:color="auto"/>
        <w:left w:val="none" w:sz="0" w:space="0" w:color="auto"/>
        <w:bottom w:val="none" w:sz="0" w:space="0" w:color="auto"/>
        <w:right w:val="none" w:sz="0" w:space="0" w:color="auto"/>
      </w:divBdr>
    </w:div>
    <w:div w:id="1169830126">
      <w:bodyDiv w:val="1"/>
      <w:marLeft w:val="0"/>
      <w:marRight w:val="0"/>
      <w:marTop w:val="0"/>
      <w:marBottom w:val="0"/>
      <w:divBdr>
        <w:top w:val="none" w:sz="0" w:space="0" w:color="auto"/>
        <w:left w:val="none" w:sz="0" w:space="0" w:color="auto"/>
        <w:bottom w:val="none" w:sz="0" w:space="0" w:color="auto"/>
        <w:right w:val="none" w:sz="0" w:space="0" w:color="auto"/>
      </w:divBdr>
    </w:div>
    <w:div w:id="1246110889">
      <w:bodyDiv w:val="1"/>
      <w:marLeft w:val="0"/>
      <w:marRight w:val="0"/>
      <w:marTop w:val="0"/>
      <w:marBottom w:val="0"/>
      <w:divBdr>
        <w:top w:val="none" w:sz="0" w:space="0" w:color="auto"/>
        <w:left w:val="none" w:sz="0" w:space="0" w:color="auto"/>
        <w:bottom w:val="none" w:sz="0" w:space="0" w:color="auto"/>
        <w:right w:val="none" w:sz="0" w:space="0" w:color="auto"/>
      </w:divBdr>
    </w:div>
    <w:div w:id="1254973114">
      <w:bodyDiv w:val="1"/>
      <w:marLeft w:val="0"/>
      <w:marRight w:val="0"/>
      <w:marTop w:val="0"/>
      <w:marBottom w:val="0"/>
      <w:divBdr>
        <w:top w:val="none" w:sz="0" w:space="0" w:color="auto"/>
        <w:left w:val="none" w:sz="0" w:space="0" w:color="auto"/>
        <w:bottom w:val="none" w:sz="0" w:space="0" w:color="auto"/>
        <w:right w:val="none" w:sz="0" w:space="0" w:color="auto"/>
      </w:divBdr>
    </w:div>
    <w:div w:id="1260017266">
      <w:bodyDiv w:val="1"/>
      <w:marLeft w:val="0"/>
      <w:marRight w:val="0"/>
      <w:marTop w:val="0"/>
      <w:marBottom w:val="0"/>
      <w:divBdr>
        <w:top w:val="none" w:sz="0" w:space="0" w:color="auto"/>
        <w:left w:val="none" w:sz="0" w:space="0" w:color="auto"/>
        <w:bottom w:val="none" w:sz="0" w:space="0" w:color="auto"/>
        <w:right w:val="none" w:sz="0" w:space="0" w:color="auto"/>
      </w:divBdr>
    </w:div>
    <w:div w:id="1317765081">
      <w:bodyDiv w:val="1"/>
      <w:marLeft w:val="0"/>
      <w:marRight w:val="0"/>
      <w:marTop w:val="0"/>
      <w:marBottom w:val="0"/>
      <w:divBdr>
        <w:top w:val="none" w:sz="0" w:space="0" w:color="auto"/>
        <w:left w:val="none" w:sz="0" w:space="0" w:color="auto"/>
        <w:bottom w:val="none" w:sz="0" w:space="0" w:color="auto"/>
        <w:right w:val="none" w:sz="0" w:space="0" w:color="auto"/>
      </w:divBdr>
    </w:div>
    <w:div w:id="1370303361">
      <w:bodyDiv w:val="1"/>
      <w:marLeft w:val="0"/>
      <w:marRight w:val="0"/>
      <w:marTop w:val="0"/>
      <w:marBottom w:val="0"/>
      <w:divBdr>
        <w:top w:val="none" w:sz="0" w:space="0" w:color="auto"/>
        <w:left w:val="none" w:sz="0" w:space="0" w:color="auto"/>
        <w:bottom w:val="none" w:sz="0" w:space="0" w:color="auto"/>
        <w:right w:val="none" w:sz="0" w:space="0" w:color="auto"/>
      </w:divBdr>
    </w:div>
    <w:div w:id="1403717751">
      <w:bodyDiv w:val="1"/>
      <w:marLeft w:val="0"/>
      <w:marRight w:val="0"/>
      <w:marTop w:val="0"/>
      <w:marBottom w:val="0"/>
      <w:divBdr>
        <w:top w:val="none" w:sz="0" w:space="0" w:color="auto"/>
        <w:left w:val="none" w:sz="0" w:space="0" w:color="auto"/>
        <w:bottom w:val="none" w:sz="0" w:space="0" w:color="auto"/>
        <w:right w:val="none" w:sz="0" w:space="0" w:color="auto"/>
      </w:divBdr>
    </w:div>
    <w:div w:id="1485243259">
      <w:bodyDiv w:val="1"/>
      <w:marLeft w:val="0"/>
      <w:marRight w:val="0"/>
      <w:marTop w:val="0"/>
      <w:marBottom w:val="0"/>
      <w:divBdr>
        <w:top w:val="none" w:sz="0" w:space="0" w:color="auto"/>
        <w:left w:val="none" w:sz="0" w:space="0" w:color="auto"/>
        <w:bottom w:val="none" w:sz="0" w:space="0" w:color="auto"/>
        <w:right w:val="none" w:sz="0" w:space="0" w:color="auto"/>
      </w:divBdr>
    </w:div>
    <w:div w:id="1540045142">
      <w:bodyDiv w:val="1"/>
      <w:marLeft w:val="0"/>
      <w:marRight w:val="0"/>
      <w:marTop w:val="0"/>
      <w:marBottom w:val="0"/>
      <w:divBdr>
        <w:top w:val="none" w:sz="0" w:space="0" w:color="auto"/>
        <w:left w:val="none" w:sz="0" w:space="0" w:color="auto"/>
        <w:bottom w:val="none" w:sz="0" w:space="0" w:color="auto"/>
        <w:right w:val="none" w:sz="0" w:space="0" w:color="auto"/>
      </w:divBdr>
    </w:div>
    <w:div w:id="1558665081">
      <w:bodyDiv w:val="1"/>
      <w:marLeft w:val="0"/>
      <w:marRight w:val="0"/>
      <w:marTop w:val="0"/>
      <w:marBottom w:val="0"/>
      <w:divBdr>
        <w:top w:val="none" w:sz="0" w:space="0" w:color="auto"/>
        <w:left w:val="none" w:sz="0" w:space="0" w:color="auto"/>
        <w:bottom w:val="none" w:sz="0" w:space="0" w:color="auto"/>
        <w:right w:val="none" w:sz="0" w:space="0" w:color="auto"/>
      </w:divBdr>
    </w:div>
    <w:div w:id="1589192244">
      <w:bodyDiv w:val="1"/>
      <w:marLeft w:val="0"/>
      <w:marRight w:val="0"/>
      <w:marTop w:val="0"/>
      <w:marBottom w:val="0"/>
      <w:divBdr>
        <w:top w:val="none" w:sz="0" w:space="0" w:color="auto"/>
        <w:left w:val="none" w:sz="0" w:space="0" w:color="auto"/>
        <w:bottom w:val="none" w:sz="0" w:space="0" w:color="auto"/>
        <w:right w:val="none" w:sz="0" w:space="0" w:color="auto"/>
      </w:divBdr>
    </w:div>
    <w:div w:id="1594557907">
      <w:bodyDiv w:val="1"/>
      <w:marLeft w:val="0"/>
      <w:marRight w:val="0"/>
      <w:marTop w:val="0"/>
      <w:marBottom w:val="0"/>
      <w:divBdr>
        <w:top w:val="none" w:sz="0" w:space="0" w:color="auto"/>
        <w:left w:val="none" w:sz="0" w:space="0" w:color="auto"/>
        <w:bottom w:val="none" w:sz="0" w:space="0" w:color="auto"/>
        <w:right w:val="none" w:sz="0" w:space="0" w:color="auto"/>
      </w:divBdr>
    </w:div>
    <w:div w:id="1659111678">
      <w:bodyDiv w:val="1"/>
      <w:marLeft w:val="0"/>
      <w:marRight w:val="0"/>
      <w:marTop w:val="0"/>
      <w:marBottom w:val="0"/>
      <w:divBdr>
        <w:top w:val="none" w:sz="0" w:space="0" w:color="auto"/>
        <w:left w:val="none" w:sz="0" w:space="0" w:color="auto"/>
        <w:bottom w:val="none" w:sz="0" w:space="0" w:color="auto"/>
        <w:right w:val="none" w:sz="0" w:space="0" w:color="auto"/>
      </w:divBdr>
      <w:divsChild>
        <w:div w:id="873886954">
          <w:marLeft w:val="780"/>
          <w:marRight w:val="0"/>
          <w:marTop w:val="0"/>
          <w:marBottom w:val="0"/>
          <w:divBdr>
            <w:top w:val="none" w:sz="0" w:space="0" w:color="auto"/>
            <w:left w:val="none" w:sz="0" w:space="0" w:color="auto"/>
            <w:bottom w:val="none" w:sz="0" w:space="0" w:color="auto"/>
            <w:right w:val="none" w:sz="0" w:space="0" w:color="auto"/>
          </w:divBdr>
        </w:div>
      </w:divsChild>
    </w:div>
    <w:div w:id="1693266323">
      <w:bodyDiv w:val="1"/>
      <w:marLeft w:val="0"/>
      <w:marRight w:val="0"/>
      <w:marTop w:val="0"/>
      <w:marBottom w:val="0"/>
      <w:divBdr>
        <w:top w:val="none" w:sz="0" w:space="0" w:color="auto"/>
        <w:left w:val="none" w:sz="0" w:space="0" w:color="auto"/>
        <w:bottom w:val="none" w:sz="0" w:space="0" w:color="auto"/>
        <w:right w:val="none" w:sz="0" w:space="0" w:color="auto"/>
      </w:divBdr>
    </w:div>
    <w:div w:id="1754233913">
      <w:bodyDiv w:val="1"/>
      <w:marLeft w:val="0"/>
      <w:marRight w:val="0"/>
      <w:marTop w:val="0"/>
      <w:marBottom w:val="0"/>
      <w:divBdr>
        <w:top w:val="none" w:sz="0" w:space="0" w:color="auto"/>
        <w:left w:val="none" w:sz="0" w:space="0" w:color="auto"/>
        <w:bottom w:val="none" w:sz="0" w:space="0" w:color="auto"/>
        <w:right w:val="none" w:sz="0" w:space="0" w:color="auto"/>
      </w:divBdr>
    </w:div>
    <w:div w:id="1789005804">
      <w:bodyDiv w:val="1"/>
      <w:marLeft w:val="0"/>
      <w:marRight w:val="0"/>
      <w:marTop w:val="0"/>
      <w:marBottom w:val="0"/>
      <w:divBdr>
        <w:top w:val="none" w:sz="0" w:space="0" w:color="auto"/>
        <w:left w:val="none" w:sz="0" w:space="0" w:color="auto"/>
        <w:bottom w:val="none" w:sz="0" w:space="0" w:color="auto"/>
        <w:right w:val="none" w:sz="0" w:space="0" w:color="auto"/>
      </w:divBdr>
    </w:div>
    <w:div w:id="1884057894">
      <w:bodyDiv w:val="1"/>
      <w:marLeft w:val="0"/>
      <w:marRight w:val="0"/>
      <w:marTop w:val="0"/>
      <w:marBottom w:val="0"/>
      <w:divBdr>
        <w:top w:val="none" w:sz="0" w:space="0" w:color="auto"/>
        <w:left w:val="none" w:sz="0" w:space="0" w:color="auto"/>
        <w:bottom w:val="none" w:sz="0" w:space="0" w:color="auto"/>
        <w:right w:val="none" w:sz="0" w:space="0" w:color="auto"/>
      </w:divBdr>
    </w:div>
    <w:div w:id="1888101915">
      <w:bodyDiv w:val="1"/>
      <w:marLeft w:val="0"/>
      <w:marRight w:val="0"/>
      <w:marTop w:val="0"/>
      <w:marBottom w:val="0"/>
      <w:divBdr>
        <w:top w:val="none" w:sz="0" w:space="0" w:color="auto"/>
        <w:left w:val="none" w:sz="0" w:space="0" w:color="auto"/>
        <w:bottom w:val="none" w:sz="0" w:space="0" w:color="auto"/>
        <w:right w:val="none" w:sz="0" w:space="0" w:color="auto"/>
      </w:divBdr>
    </w:div>
    <w:div w:id="1966620135">
      <w:bodyDiv w:val="1"/>
      <w:marLeft w:val="0"/>
      <w:marRight w:val="0"/>
      <w:marTop w:val="0"/>
      <w:marBottom w:val="0"/>
      <w:divBdr>
        <w:top w:val="none" w:sz="0" w:space="0" w:color="auto"/>
        <w:left w:val="none" w:sz="0" w:space="0" w:color="auto"/>
        <w:bottom w:val="none" w:sz="0" w:space="0" w:color="auto"/>
        <w:right w:val="none" w:sz="0" w:space="0" w:color="auto"/>
      </w:divBdr>
    </w:div>
    <w:div w:id="1995839969">
      <w:bodyDiv w:val="1"/>
      <w:marLeft w:val="0"/>
      <w:marRight w:val="0"/>
      <w:marTop w:val="0"/>
      <w:marBottom w:val="0"/>
      <w:divBdr>
        <w:top w:val="none" w:sz="0" w:space="0" w:color="auto"/>
        <w:left w:val="none" w:sz="0" w:space="0" w:color="auto"/>
        <w:bottom w:val="none" w:sz="0" w:space="0" w:color="auto"/>
        <w:right w:val="none" w:sz="0" w:space="0" w:color="auto"/>
      </w:divBdr>
    </w:div>
    <w:div w:id="2050908774">
      <w:bodyDiv w:val="1"/>
      <w:marLeft w:val="0"/>
      <w:marRight w:val="0"/>
      <w:marTop w:val="0"/>
      <w:marBottom w:val="0"/>
      <w:divBdr>
        <w:top w:val="none" w:sz="0" w:space="0" w:color="auto"/>
        <w:left w:val="none" w:sz="0" w:space="0" w:color="auto"/>
        <w:bottom w:val="none" w:sz="0" w:space="0" w:color="auto"/>
        <w:right w:val="none" w:sz="0" w:space="0" w:color="auto"/>
      </w:divBdr>
    </w:div>
    <w:div w:id="2052001138">
      <w:bodyDiv w:val="1"/>
      <w:marLeft w:val="0"/>
      <w:marRight w:val="0"/>
      <w:marTop w:val="0"/>
      <w:marBottom w:val="0"/>
      <w:divBdr>
        <w:top w:val="none" w:sz="0" w:space="0" w:color="auto"/>
        <w:left w:val="none" w:sz="0" w:space="0" w:color="auto"/>
        <w:bottom w:val="none" w:sz="0" w:space="0" w:color="auto"/>
        <w:right w:val="none" w:sz="0" w:space="0" w:color="auto"/>
      </w:divBdr>
    </w:div>
    <w:div w:id="211177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docsroom/documents/40805"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7"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Tactical%20business%20marketing%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CD0987310A4191BAFACB842CA5FAE2"/>
        <w:category>
          <w:name w:val="General"/>
          <w:gallery w:val="placeholder"/>
        </w:category>
        <w:types>
          <w:type w:val="bbPlcHdr"/>
        </w:types>
        <w:behaviors>
          <w:behavior w:val="content"/>
        </w:behaviors>
        <w:guid w:val="{0CB8A413-3562-4829-9C85-8EE54A83FDBA}"/>
      </w:docPartPr>
      <w:docPartBody>
        <w:p w:rsidR="00FF5537" w:rsidRDefault="00BB721C">
          <w:pPr>
            <w:pStyle w:val="02CD0987310A4191BAFACB842CA5FAE2"/>
          </w:pPr>
          <w:r>
            <w:t>Date</w:t>
          </w:r>
        </w:p>
      </w:docPartBody>
    </w:docPart>
    <w:docPart>
      <w:docPartPr>
        <w:name w:val="9AC8044EFEF242EF9B5D7CF98B43DB87"/>
        <w:category>
          <w:name w:val="General"/>
          <w:gallery w:val="placeholder"/>
        </w:category>
        <w:types>
          <w:type w:val="bbPlcHdr"/>
        </w:types>
        <w:behaviors>
          <w:behavior w:val="content"/>
        </w:behaviors>
        <w:guid w:val="{4BE8B75E-9106-4922-8B93-F4D2286346FF}"/>
      </w:docPartPr>
      <w:docPartBody>
        <w:p w:rsidR="00FF5537" w:rsidRDefault="00BB721C">
          <w:pPr>
            <w:pStyle w:val="9AC8044EFEF242EF9B5D7CF98B43DB87"/>
          </w:pPr>
          <w: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Pro-Regular">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2D3E91"/>
    <w:rsid w:val="00040D02"/>
    <w:rsid w:val="000441A3"/>
    <w:rsid w:val="000635D1"/>
    <w:rsid w:val="0009325E"/>
    <w:rsid w:val="000A3671"/>
    <w:rsid w:val="000D06E9"/>
    <w:rsid w:val="00152A9A"/>
    <w:rsid w:val="00242D1C"/>
    <w:rsid w:val="00250463"/>
    <w:rsid w:val="00251C04"/>
    <w:rsid w:val="00263CD7"/>
    <w:rsid w:val="00281370"/>
    <w:rsid w:val="002B30E0"/>
    <w:rsid w:val="002B3BE5"/>
    <w:rsid w:val="002C3AFC"/>
    <w:rsid w:val="002D3E91"/>
    <w:rsid w:val="002F59B0"/>
    <w:rsid w:val="003072C6"/>
    <w:rsid w:val="003141A6"/>
    <w:rsid w:val="003175CE"/>
    <w:rsid w:val="00355AD6"/>
    <w:rsid w:val="003C3AB6"/>
    <w:rsid w:val="003D37AA"/>
    <w:rsid w:val="003F247C"/>
    <w:rsid w:val="004007D4"/>
    <w:rsid w:val="004562B9"/>
    <w:rsid w:val="00460173"/>
    <w:rsid w:val="0047136B"/>
    <w:rsid w:val="004B3599"/>
    <w:rsid w:val="00512C8F"/>
    <w:rsid w:val="005D204A"/>
    <w:rsid w:val="005E6CEF"/>
    <w:rsid w:val="0060364B"/>
    <w:rsid w:val="00605E69"/>
    <w:rsid w:val="00644BAD"/>
    <w:rsid w:val="00687890"/>
    <w:rsid w:val="007E6B42"/>
    <w:rsid w:val="007F0CBF"/>
    <w:rsid w:val="007F43F1"/>
    <w:rsid w:val="00822707"/>
    <w:rsid w:val="00826CE1"/>
    <w:rsid w:val="00836B1C"/>
    <w:rsid w:val="00890DF2"/>
    <w:rsid w:val="008A357C"/>
    <w:rsid w:val="008D4FA6"/>
    <w:rsid w:val="008E4815"/>
    <w:rsid w:val="008F65A6"/>
    <w:rsid w:val="008F7977"/>
    <w:rsid w:val="00904917"/>
    <w:rsid w:val="00912A4C"/>
    <w:rsid w:val="00951600"/>
    <w:rsid w:val="00951F68"/>
    <w:rsid w:val="00966AD5"/>
    <w:rsid w:val="00981EEF"/>
    <w:rsid w:val="00995736"/>
    <w:rsid w:val="009E0914"/>
    <w:rsid w:val="009F1617"/>
    <w:rsid w:val="00A377B6"/>
    <w:rsid w:val="00A37B95"/>
    <w:rsid w:val="00A568B1"/>
    <w:rsid w:val="00A713B9"/>
    <w:rsid w:val="00A726C5"/>
    <w:rsid w:val="00A95F0C"/>
    <w:rsid w:val="00AB33C9"/>
    <w:rsid w:val="00AC0B2C"/>
    <w:rsid w:val="00AC757C"/>
    <w:rsid w:val="00B114A3"/>
    <w:rsid w:val="00B328F9"/>
    <w:rsid w:val="00B468EA"/>
    <w:rsid w:val="00BB3886"/>
    <w:rsid w:val="00BB721C"/>
    <w:rsid w:val="00BF2D06"/>
    <w:rsid w:val="00C07F88"/>
    <w:rsid w:val="00C1240D"/>
    <w:rsid w:val="00C30B9A"/>
    <w:rsid w:val="00C34CCA"/>
    <w:rsid w:val="00C379BA"/>
    <w:rsid w:val="00C400E6"/>
    <w:rsid w:val="00C4444A"/>
    <w:rsid w:val="00C75EE8"/>
    <w:rsid w:val="00CA4597"/>
    <w:rsid w:val="00CC2587"/>
    <w:rsid w:val="00D417B9"/>
    <w:rsid w:val="00D44291"/>
    <w:rsid w:val="00D549D7"/>
    <w:rsid w:val="00D8748C"/>
    <w:rsid w:val="00D9654A"/>
    <w:rsid w:val="00DB77F2"/>
    <w:rsid w:val="00E001BD"/>
    <w:rsid w:val="00E00EC6"/>
    <w:rsid w:val="00E1562D"/>
    <w:rsid w:val="00E31F48"/>
    <w:rsid w:val="00E479C2"/>
    <w:rsid w:val="00E615FE"/>
    <w:rsid w:val="00E811AE"/>
    <w:rsid w:val="00EB3AB5"/>
    <w:rsid w:val="00EF675F"/>
    <w:rsid w:val="00F103D8"/>
    <w:rsid w:val="00F15AA3"/>
    <w:rsid w:val="00FA68C8"/>
    <w:rsid w:val="00FD07A2"/>
    <w:rsid w:val="00FF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E7B4DDFD94E0C895F3A02A9CE7A7D">
    <w:name w:val="BA6E7B4DDFD94E0C895F3A02A9CE7A7D"/>
    <w:rsid w:val="00A37B95"/>
  </w:style>
  <w:style w:type="paragraph" w:customStyle="1" w:styleId="1D191DBBDAAF4BE1BB313C321557914A">
    <w:name w:val="1D191DBBDAAF4BE1BB313C321557914A"/>
    <w:rsid w:val="00A37B95"/>
  </w:style>
  <w:style w:type="paragraph" w:customStyle="1" w:styleId="02CD0987310A4191BAFACB842CA5FAE2">
    <w:name w:val="02CD0987310A4191BAFACB842CA5FAE2"/>
    <w:rsid w:val="00A37B95"/>
  </w:style>
  <w:style w:type="paragraph" w:customStyle="1" w:styleId="18F0798D238D4DC98F4552B39D0EA595">
    <w:name w:val="18F0798D238D4DC98F4552B39D0EA595"/>
    <w:rsid w:val="00A37B95"/>
  </w:style>
  <w:style w:type="paragraph" w:customStyle="1" w:styleId="9AC8044EFEF242EF9B5D7CF98B43DB87">
    <w:name w:val="9AC8044EFEF242EF9B5D7CF98B43DB87"/>
    <w:rsid w:val="00A37B95"/>
  </w:style>
  <w:style w:type="paragraph" w:customStyle="1" w:styleId="0637C6C041E04A43A8D463A0AB2102B3">
    <w:name w:val="0637C6C041E04A43A8D463A0AB2102B3"/>
    <w:rsid w:val="00A37B95"/>
  </w:style>
  <w:style w:type="paragraph" w:customStyle="1" w:styleId="E1F2D2ED810342D685AF5431E70BD541">
    <w:name w:val="E1F2D2ED810342D685AF5431E70BD541"/>
    <w:rsid w:val="00A37B95"/>
  </w:style>
  <w:style w:type="paragraph" w:customStyle="1" w:styleId="19505995B8BA47728785ED2DD7AE5AFF">
    <w:name w:val="19505995B8BA47728785ED2DD7AE5AFF"/>
    <w:rsid w:val="00A37B95"/>
  </w:style>
  <w:style w:type="paragraph" w:customStyle="1" w:styleId="132E9E10D9D143DEB0C0FD594C8C7F82">
    <w:name w:val="132E9E10D9D143DEB0C0FD594C8C7F82"/>
    <w:rsid w:val="00A37B95"/>
  </w:style>
  <w:style w:type="paragraph" w:customStyle="1" w:styleId="31751EDEB597427BBFA802F2BF4E7E2A">
    <w:name w:val="31751EDEB597427BBFA802F2BF4E7E2A"/>
    <w:rsid w:val="00A37B95"/>
  </w:style>
  <w:style w:type="character" w:styleId="Emphasis">
    <w:name w:val="Emphasis"/>
    <w:basedOn w:val="DefaultParagraphFont"/>
    <w:uiPriority w:val="20"/>
    <w:rsid w:val="00A37B95"/>
    <w:rPr>
      <w:i/>
      <w:iCs/>
      <w:color w:val="595959" w:themeColor="text1" w:themeTint="A6"/>
    </w:rPr>
  </w:style>
  <w:style w:type="paragraph" w:customStyle="1" w:styleId="C34B3A5EA8284B14A690E77BB451E09F">
    <w:name w:val="C34B3A5EA8284B14A690E77BB451E09F"/>
    <w:rsid w:val="00A37B95"/>
  </w:style>
  <w:style w:type="paragraph" w:customStyle="1" w:styleId="FEFDFBEFFBD04D1BAAF1355D440D994F">
    <w:name w:val="FEFDFBEFFBD04D1BAAF1355D440D994F"/>
    <w:rsid w:val="00A37B95"/>
  </w:style>
  <w:style w:type="paragraph" w:customStyle="1" w:styleId="E53B21E55B4344AA9499483F9959F779">
    <w:name w:val="E53B21E55B4344AA9499483F9959F779"/>
    <w:rsid w:val="00A37B95"/>
  </w:style>
  <w:style w:type="paragraph" w:customStyle="1" w:styleId="0E007461894E4D81B51F43D2C40F6305">
    <w:name w:val="0E007461894E4D81B51F43D2C40F6305"/>
    <w:rsid w:val="00A37B95"/>
  </w:style>
  <w:style w:type="paragraph" w:customStyle="1" w:styleId="32ECF9CDFB224865A65B19D9B92D8B91">
    <w:name w:val="32ECF9CDFB224865A65B19D9B92D8B91"/>
    <w:rsid w:val="00A37B95"/>
  </w:style>
  <w:style w:type="paragraph" w:customStyle="1" w:styleId="5BB7D4F7703A4F8C8FB38CA515E124B9">
    <w:name w:val="5BB7D4F7703A4F8C8FB38CA515E124B9"/>
    <w:rsid w:val="00A37B95"/>
  </w:style>
  <w:style w:type="paragraph" w:customStyle="1" w:styleId="D0AAA1D02C9E465B8AF790DB4A43B64A">
    <w:name w:val="D0AAA1D02C9E465B8AF790DB4A43B64A"/>
    <w:rsid w:val="00A37B95"/>
  </w:style>
  <w:style w:type="paragraph" w:customStyle="1" w:styleId="97C9721D1AE34FA3BC1C8897B5A4700C">
    <w:name w:val="97C9721D1AE34FA3BC1C8897B5A4700C"/>
    <w:rsid w:val="00A37B95"/>
  </w:style>
  <w:style w:type="paragraph" w:customStyle="1" w:styleId="3F2AD459EAA34BB89D27A1D7EC5F5958">
    <w:name w:val="3F2AD459EAA34BB89D27A1D7EC5F5958"/>
    <w:rsid w:val="00A37B95"/>
  </w:style>
  <w:style w:type="paragraph" w:customStyle="1" w:styleId="2BF7BEAFC3C2494B9B67318DBC3149D5">
    <w:name w:val="2BF7BEAFC3C2494B9B67318DBC3149D5"/>
    <w:rsid w:val="00A37B95"/>
  </w:style>
  <w:style w:type="paragraph" w:customStyle="1" w:styleId="D9B96FE66A1C42FF9C4BD9CC0230CBE9">
    <w:name w:val="D9B96FE66A1C42FF9C4BD9CC0230CBE9"/>
    <w:rsid w:val="00A37B95"/>
  </w:style>
  <w:style w:type="paragraph" w:customStyle="1" w:styleId="17110D44AA6F42AEAAB37172B218856C">
    <w:name w:val="17110D44AA6F42AEAAB37172B218856C"/>
    <w:rsid w:val="00A37B95"/>
  </w:style>
  <w:style w:type="paragraph" w:customStyle="1" w:styleId="1E20E95C0C2943C4B577EE8FDC5ACA2F">
    <w:name w:val="1E20E95C0C2943C4B577EE8FDC5ACA2F"/>
    <w:rsid w:val="00A37B95"/>
  </w:style>
  <w:style w:type="paragraph" w:customStyle="1" w:styleId="347A2EC4968845AC96077AC76C0102FF">
    <w:name w:val="347A2EC4968845AC96077AC76C0102FF"/>
    <w:rsid w:val="00A37B95"/>
  </w:style>
  <w:style w:type="paragraph" w:customStyle="1" w:styleId="6F04D715E6484A59AF625D3CC888F26A">
    <w:name w:val="6F04D715E6484A59AF625D3CC888F26A"/>
    <w:rsid w:val="00A37B95"/>
  </w:style>
  <w:style w:type="paragraph" w:customStyle="1" w:styleId="A6B3E94AFEA7451086A29B859CA281F3">
    <w:name w:val="A6B3E94AFEA7451086A29B859CA281F3"/>
    <w:rsid w:val="00A37B95"/>
  </w:style>
  <w:style w:type="paragraph" w:customStyle="1" w:styleId="4759D5FC4C6C485BA3B940156B6FB84F">
    <w:name w:val="4759D5FC4C6C485BA3B940156B6FB84F"/>
    <w:rsid w:val="00A37B95"/>
  </w:style>
  <w:style w:type="paragraph" w:customStyle="1" w:styleId="68503E9E2BB641E59C84C8AA74B18234">
    <w:name w:val="68503E9E2BB641E59C84C8AA74B18234"/>
    <w:rsid w:val="00A37B95"/>
  </w:style>
  <w:style w:type="paragraph" w:customStyle="1" w:styleId="810F299637D143D8A86DEC52AEBFEEC8">
    <w:name w:val="810F299637D143D8A86DEC52AEBFEEC8"/>
    <w:rsid w:val="00A37B95"/>
  </w:style>
  <w:style w:type="paragraph" w:customStyle="1" w:styleId="A2796539CA19488CB898E55E9C8EF2DA">
    <w:name w:val="A2796539CA19488CB898E55E9C8EF2DA"/>
    <w:rsid w:val="00A37B95"/>
  </w:style>
  <w:style w:type="paragraph" w:customStyle="1" w:styleId="53CBB7E70BC4449292E243FCE0F08563">
    <w:name w:val="53CBB7E70BC4449292E243FCE0F08563"/>
    <w:rsid w:val="00A37B95"/>
  </w:style>
  <w:style w:type="paragraph" w:customStyle="1" w:styleId="25D82588AA5448A592503C96448CFFB4">
    <w:name w:val="25D82588AA5448A592503C96448CFFB4"/>
    <w:rsid w:val="00A37B95"/>
  </w:style>
  <w:style w:type="paragraph" w:customStyle="1" w:styleId="4468EFF6996E4DD783926D4E78718479">
    <w:name w:val="4468EFF6996E4DD783926D4E78718479"/>
    <w:rsid w:val="00A37B95"/>
  </w:style>
  <w:style w:type="paragraph" w:customStyle="1" w:styleId="E5AEE78E87B6427EA8A5F77EBF242032">
    <w:name w:val="E5AEE78E87B6427EA8A5F77EBF242032"/>
    <w:rsid w:val="00A37B95"/>
  </w:style>
  <w:style w:type="paragraph" w:customStyle="1" w:styleId="BB3C3417FCA147438B351B8F1B335C0C">
    <w:name w:val="BB3C3417FCA147438B351B8F1B335C0C"/>
    <w:rsid w:val="00A37B95"/>
  </w:style>
  <w:style w:type="paragraph" w:customStyle="1" w:styleId="A6FE9EBBECBA43C4A6C07C5C6F6ABE7D">
    <w:name w:val="A6FE9EBBECBA43C4A6C07C5C6F6ABE7D"/>
    <w:rsid w:val="00A37B95"/>
  </w:style>
  <w:style w:type="paragraph" w:customStyle="1" w:styleId="26FA8FBB61C44225BFF2CD3F390D7970">
    <w:name w:val="26FA8FBB61C44225BFF2CD3F390D7970"/>
    <w:rsid w:val="00A37B95"/>
  </w:style>
  <w:style w:type="paragraph" w:customStyle="1" w:styleId="082A3E12FED64020874D7082F9DD8918">
    <w:name w:val="082A3E12FED64020874D7082F9DD8918"/>
    <w:rsid w:val="00A37B95"/>
  </w:style>
  <w:style w:type="paragraph" w:customStyle="1" w:styleId="7A0A95201BE04AC39304312610B69F88">
    <w:name w:val="7A0A95201BE04AC39304312610B69F88"/>
    <w:rsid w:val="00A37B95"/>
  </w:style>
  <w:style w:type="paragraph" w:customStyle="1" w:styleId="35DB1C5DF52B41AF831E08AEB51CE02F">
    <w:name w:val="35DB1C5DF52B41AF831E08AEB51CE02F"/>
    <w:rsid w:val="00A37B95"/>
  </w:style>
  <w:style w:type="paragraph" w:customStyle="1" w:styleId="B37BCC37D47742C382F09AEECFEA39ED">
    <w:name w:val="B37BCC37D47742C382F09AEECFEA39ED"/>
    <w:rsid w:val="00A37B95"/>
  </w:style>
  <w:style w:type="paragraph" w:customStyle="1" w:styleId="FF19CF02EA1C4994851C4E024FCD6538">
    <w:name w:val="FF19CF02EA1C4994851C4E024FCD6538"/>
    <w:rsid w:val="00A37B95"/>
  </w:style>
  <w:style w:type="paragraph" w:customStyle="1" w:styleId="B1548A57F9D841C2BCE5DD515F431809">
    <w:name w:val="B1548A57F9D841C2BCE5DD515F431809"/>
    <w:rsid w:val="00A37B95"/>
  </w:style>
  <w:style w:type="paragraph" w:customStyle="1" w:styleId="F7DA1678E68A4A59A53CB12576D79A71">
    <w:name w:val="F7DA1678E68A4A59A53CB12576D79A71"/>
    <w:rsid w:val="00A37B95"/>
  </w:style>
  <w:style w:type="paragraph" w:customStyle="1" w:styleId="DAABE5EC65FA48DD9783357FCCE7A2A0">
    <w:name w:val="DAABE5EC65FA48DD9783357FCCE7A2A0"/>
    <w:rsid w:val="00A37B95"/>
  </w:style>
  <w:style w:type="paragraph" w:customStyle="1" w:styleId="3494F7CB719A48058ED49104651F4BBF">
    <w:name w:val="3494F7CB719A48058ED49104651F4BBF"/>
    <w:rsid w:val="00A37B95"/>
  </w:style>
  <w:style w:type="paragraph" w:customStyle="1" w:styleId="A41262AAC17843CAAACD709D87D08FE6">
    <w:name w:val="A41262AAC17843CAAACD709D87D08FE6"/>
    <w:rsid w:val="00A37B95"/>
  </w:style>
  <w:style w:type="paragraph" w:customStyle="1" w:styleId="2FAF811FD564491A86DA85A65FEF4531">
    <w:name w:val="2FAF811FD564491A86DA85A65FEF4531"/>
    <w:rsid w:val="00A37B95"/>
  </w:style>
  <w:style w:type="paragraph" w:customStyle="1" w:styleId="FF51685D9D404B45B29058C0EB29ED81">
    <w:name w:val="FF51685D9D404B45B29058C0EB29ED81"/>
    <w:rsid w:val="00A37B95"/>
  </w:style>
  <w:style w:type="paragraph" w:customStyle="1" w:styleId="DECB156292A0472B902D65370192E514">
    <w:name w:val="DECB156292A0472B902D65370192E514"/>
    <w:rsid w:val="00A37B95"/>
  </w:style>
  <w:style w:type="paragraph" w:customStyle="1" w:styleId="2795EF934535438EA01F75BE7D264736">
    <w:name w:val="2795EF934535438EA01F75BE7D264736"/>
    <w:rsid w:val="00A37B95"/>
  </w:style>
  <w:style w:type="paragraph" w:customStyle="1" w:styleId="FF1F3393587C4DC48A9AB6640401FBA8">
    <w:name w:val="FF1F3393587C4DC48A9AB6640401FBA8"/>
    <w:rsid w:val="00A37B95"/>
  </w:style>
  <w:style w:type="paragraph" w:customStyle="1" w:styleId="59574A09597743FD9332E0220A87F4B7">
    <w:name w:val="59574A09597743FD9332E0220A87F4B7"/>
    <w:rsid w:val="00A37B95"/>
  </w:style>
  <w:style w:type="paragraph" w:customStyle="1" w:styleId="8C72B76036BF46CFABDF930164006C58">
    <w:name w:val="8C72B76036BF46CFABDF930164006C58"/>
    <w:rsid w:val="00A37B95"/>
  </w:style>
  <w:style w:type="paragraph" w:customStyle="1" w:styleId="6FB4B60468C64123B22481D159589B54">
    <w:name w:val="6FB4B60468C64123B22481D159589B54"/>
    <w:rsid w:val="00A37B95"/>
  </w:style>
  <w:style w:type="paragraph" w:customStyle="1" w:styleId="A344018D046B4D4FB7D7D2E847A0DA03">
    <w:name w:val="A344018D046B4D4FB7D7D2E847A0DA03"/>
    <w:rsid w:val="00A37B95"/>
  </w:style>
  <w:style w:type="paragraph" w:customStyle="1" w:styleId="C6A7112CA9E24128A1BB15F2595A77D3">
    <w:name w:val="C6A7112CA9E24128A1BB15F2595A77D3"/>
    <w:rsid w:val="00A37B95"/>
  </w:style>
  <w:style w:type="paragraph" w:customStyle="1" w:styleId="61D28603EDBF410BBCB4FBF3C686805E">
    <w:name w:val="61D28603EDBF410BBCB4FBF3C686805E"/>
    <w:rsid w:val="00A37B95"/>
  </w:style>
  <w:style w:type="paragraph" w:customStyle="1" w:styleId="7E4916B96A254C378FD7321C612E983E">
    <w:name w:val="7E4916B96A254C378FD7321C612E983E"/>
    <w:rsid w:val="00A37B95"/>
  </w:style>
  <w:style w:type="paragraph" w:customStyle="1" w:styleId="0A36C6FA32FD4ECE8D6D2F079BADC9EE">
    <w:name w:val="0A36C6FA32FD4ECE8D6D2F079BADC9EE"/>
    <w:rsid w:val="00A37B95"/>
  </w:style>
  <w:style w:type="paragraph" w:customStyle="1" w:styleId="82FB6D4192D541CD8D6178B8F49D9EE2">
    <w:name w:val="82FB6D4192D541CD8D6178B8F49D9EE2"/>
    <w:rsid w:val="00A37B95"/>
  </w:style>
  <w:style w:type="paragraph" w:customStyle="1" w:styleId="744EE4D3DDEE488FADB8F5D510E53FA3">
    <w:name w:val="744EE4D3DDEE488FADB8F5D510E53FA3"/>
    <w:rsid w:val="00A37B95"/>
  </w:style>
  <w:style w:type="paragraph" w:customStyle="1" w:styleId="198F155FEF7447C2AA3A69F23BA04BE5">
    <w:name w:val="198F155FEF7447C2AA3A69F23BA04BE5"/>
    <w:rsid w:val="00A37B95"/>
  </w:style>
  <w:style w:type="paragraph" w:customStyle="1" w:styleId="03ED2558713841ABA0314092C20BD437">
    <w:name w:val="03ED2558713841ABA0314092C20BD437"/>
    <w:rsid w:val="00A37B95"/>
  </w:style>
  <w:style w:type="paragraph" w:customStyle="1" w:styleId="99FC5747635044E3AC51FEC2427E52E5">
    <w:name w:val="99FC5747635044E3AC51FEC2427E52E5"/>
    <w:rsid w:val="00A37B95"/>
  </w:style>
  <w:style w:type="paragraph" w:customStyle="1" w:styleId="1C6FD3A8BECF448C86B3EA984DB0A83C">
    <w:name w:val="1C6FD3A8BECF448C86B3EA984DB0A83C"/>
    <w:rsid w:val="00A37B95"/>
  </w:style>
  <w:style w:type="paragraph" w:customStyle="1" w:styleId="5B973D57474745B997B35016C4E35897">
    <w:name w:val="5B973D57474745B997B35016C4E35897"/>
    <w:rsid w:val="00A37B95"/>
  </w:style>
  <w:style w:type="paragraph" w:customStyle="1" w:styleId="FA2F7EA71DC9456EB2A49B88D2678431">
    <w:name w:val="FA2F7EA71DC9456EB2A49B88D2678431"/>
    <w:rsid w:val="00A37B95"/>
  </w:style>
  <w:style w:type="paragraph" w:customStyle="1" w:styleId="3E48DF2344454ABABCEEA4561D258A5E">
    <w:name w:val="3E48DF2344454ABABCEEA4561D258A5E"/>
    <w:rsid w:val="00A37B95"/>
  </w:style>
  <w:style w:type="paragraph" w:customStyle="1" w:styleId="5772FDACF2F248D9811523B3B357F9C7">
    <w:name w:val="5772FDACF2F248D9811523B3B357F9C7"/>
    <w:rsid w:val="00A37B95"/>
  </w:style>
  <w:style w:type="paragraph" w:customStyle="1" w:styleId="5E84755A7AC24F6CA8B90FB492430083">
    <w:name w:val="5E84755A7AC24F6CA8B90FB492430083"/>
    <w:rsid w:val="00A37B95"/>
  </w:style>
  <w:style w:type="paragraph" w:customStyle="1" w:styleId="F484BF11BE244525888667937BFA01B1">
    <w:name w:val="F484BF11BE244525888667937BFA01B1"/>
    <w:rsid w:val="00A37B95"/>
  </w:style>
  <w:style w:type="paragraph" w:customStyle="1" w:styleId="2861147CE3994599A56E3F12BDC4B157">
    <w:name w:val="2861147CE3994599A56E3F12BDC4B157"/>
    <w:rsid w:val="00A37B95"/>
  </w:style>
  <w:style w:type="paragraph" w:customStyle="1" w:styleId="7E751B32410C48629104AF6AF140B86D">
    <w:name w:val="7E751B32410C48629104AF6AF140B86D"/>
    <w:rsid w:val="00A37B95"/>
  </w:style>
  <w:style w:type="paragraph" w:customStyle="1" w:styleId="CB252FED1D9F4B77B3CA16AC76F49567">
    <w:name w:val="CB252FED1D9F4B77B3CA16AC76F49567"/>
    <w:rsid w:val="00A37B95"/>
  </w:style>
  <w:style w:type="paragraph" w:customStyle="1" w:styleId="138D268330724E5A8BD59362521F8AA4">
    <w:name w:val="138D268330724E5A8BD59362521F8AA4"/>
    <w:rsid w:val="00A37B95"/>
  </w:style>
  <w:style w:type="paragraph" w:customStyle="1" w:styleId="FD490AD1FBC241A5905653A8875A3B7B">
    <w:name w:val="FD490AD1FBC241A5905653A8875A3B7B"/>
    <w:rsid w:val="00A37B95"/>
  </w:style>
  <w:style w:type="paragraph" w:customStyle="1" w:styleId="E3B3BCAE56604B0983787BA4D8C9B689">
    <w:name w:val="E3B3BCAE56604B0983787BA4D8C9B689"/>
    <w:rsid w:val="00A37B95"/>
  </w:style>
  <w:style w:type="paragraph" w:customStyle="1" w:styleId="2D2204870A454CF1B16E1440CE557801">
    <w:name w:val="2D2204870A454CF1B16E1440CE557801"/>
    <w:rsid w:val="00A37B95"/>
  </w:style>
  <w:style w:type="paragraph" w:customStyle="1" w:styleId="32F09C7BEB344335829F7BE01D97B732">
    <w:name w:val="32F09C7BEB344335829F7BE01D97B732"/>
    <w:rsid w:val="00A37B95"/>
  </w:style>
  <w:style w:type="paragraph" w:customStyle="1" w:styleId="2DE95F6948FB45AABBFA057E648E29E4">
    <w:name w:val="2DE95F6948FB45AABBFA057E648E29E4"/>
    <w:rsid w:val="00A37B95"/>
  </w:style>
  <w:style w:type="paragraph" w:customStyle="1" w:styleId="8B8D8CB2C4D54C169B9CC6B5D8290BA2">
    <w:name w:val="8B8D8CB2C4D54C169B9CC6B5D8290BA2"/>
    <w:rsid w:val="00A37B95"/>
  </w:style>
  <w:style w:type="paragraph" w:customStyle="1" w:styleId="D865EEDD923D479D9ADC28A4FE38F299">
    <w:name w:val="D865EEDD923D479D9ADC28A4FE38F299"/>
    <w:rsid w:val="00A37B95"/>
  </w:style>
  <w:style w:type="paragraph" w:customStyle="1" w:styleId="77631DB77FB44725B968014CCE1FA536">
    <w:name w:val="77631DB77FB44725B968014CCE1FA536"/>
    <w:rsid w:val="00A37B95"/>
  </w:style>
  <w:style w:type="paragraph" w:customStyle="1" w:styleId="F1F50A1EE4E14C8EA23BA6B2F0889274">
    <w:name w:val="F1F50A1EE4E14C8EA23BA6B2F0889274"/>
    <w:rsid w:val="00A37B95"/>
  </w:style>
  <w:style w:type="paragraph" w:customStyle="1" w:styleId="DD1D3870363B44DAA0AF6B75C76BC541">
    <w:name w:val="DD1D3870363B44DAA0AF6B75C76BC541"/>
    <w:rsid w:val="00A37B95"/>
  </w:style>
  <w:style w:type="paragraph" w:customStyle="1" w:styleId="B5341D2E2C664EBB9F96D44148FCA306">
    <w:name w:val="B5341D2E2C664EBB9F96D44148FCA306"/>
    <w:rsid w:val="00A37B95"/>
  </w:style>
  <w:style w:type="paragraph" w:customStyle="1" w:styleId="24DDAC4B916D4D1C800E95A47801A1AE">
    <w:name w:val="24DDAC4B916D4D1C800E95A47801A1AE"/>
    <w:rsid w:val="00A37B95"/>
  </w:style>
  <w:style w:type="paragraph" w:customStyle="1" w:styleId="69C2A3F4D2C44EE890ECF8888F8E1964">
    <w:name w:val="69C2A3F4D2C44EE890ECF8888F8E1964"/>
    <w:rsid w:val="00A37B95"/>
  </w:style>
  <w:style w:type="paragraph" w:customStyle="1" w:styleId="AAB55C3D144A4B3193A5AD9199DED224">
    <w:name w:val="AAB55C3D144A4B3193A5AD9199DED224"/>
    <w:rsid w:val="00A37B95"/>
  </w:style>
  <w:style w:type="paragraph" w:customStyle="1" w:styleId="E6C2266669D64385BCBF643C87C5AB8B">
    <w:name w:val="E6C2266669D64385BCBF643C87C5AB8B"/>
    <w:rsid w:val="00A37B95"/>
  </w:style>
  <w:style w:type="paragraph" w:customStyle="1" w:styleId="0CEF137C278841D190CB3D985C08CA9C">
    <w:name w:val="0CEF137C278841D190CB3D985C08CA9C"/>
    <w:rsid w:val="00A37B95"/>
  </w:style>
  <w:style w:type="paragraph" w:customStyle="1" w:styleId="38A98025597F44C49C86D7974582062D">
    <w:name w:val="38A98025597F44C49C86D7974582062D"/>
    <w:rsid w:val="00A37B95"/>
  </w:style>
  <w:style w:type="paragraph" w:customStyle="1" w:styleId="52ED9BC1661F4DBCB849692DF3B8F65F">
    <w:name w:val="52ED9BC1661F4DBCB849692DF3B8F65F"/>
    <w:rsid w:val="00A37B95"/>
  </w:style>
  <w:style w:type="paragraph" w:customStyle="1" w:styleId="5CFC31CA27D44FF484BB77801364A13A">
    <w:name w:val="5CFC31CA27D44FF484BB77801364A13A"/>
    <w:rsid w:val="00A37B95"/>
  </w:style>
  <w:style w:type="paragraph" w:customStyle="1" w:styleId="81DF7D4398A046069368667612B31A1E">
    <w:name w:val="81DF7D4398A046069368667612B31A1E"/>
    <w:rsid w:val="00A37B95"/>
  </w:style>
  <w:style w:type="paragraph" w:customStyle="1" w:styleId="E7A82B46A2984FDF9FAF5A58EEDEF8C7">
    <w:name w:val="E7A82B46A2984FDF9FAF5A58EEDEF8C7"/>
    <w:rsid w:val="00A37B95"/>
  </w:style>
  <w:style w:type="paragraph" w:customStyle="1" w:styleId="39027B30B90D42DAB6E6CC7BCBAAC6B9">
    <w:name w:val="39027B30B90D42DAB6E6CC7BCBAAC6B9"/>
    <w:rsid w:val="00A37B95"/>
  </w:style>
  <w:style w:type="paragraph" w:customStyle="1" w:styleId="AC27975D18BC493DA33FBB70102FFC2A">
    <w:name w:val="AC27975D18BC493DA33FBB70102FFC2A"/>
    <w:rsid w:val="00A37B95"/>
  </w:style>
  <w:style w:type="paragraph" w:customStyle="1" w:styleId="1C2CB99838114AB9B91F6EB3443B05D1">
    <w:name w:val="1C2CB99838114AB9B91F6EB3443B05D1"/>
    <w:rsid w:val="00A37B95"/>
  </w:style>
  <w:style w:type="paragraph" w:customStyle="1" w:styleId="F2C48B5A954340BFACAF81E211F905F8">
    <w:name w:val="F2C48B5A954340BFACAF81E211F905F8"/>
    <w:rsid w:val="00A37B95"/>
  </w:style>
  <w:style w:type="character" w:styleId="PlaceholderText">
    <w:name w:val="Placeholder Text"/>
    <w:basedOn w:val="DefaultParagraphFont"/>
    <w:uiPriority w:val="2"/>
    <w:rsid w:val="00A37B95"/>
    <w:rPr>
      <w:i/>
      <w:iCs/>
      <w:color w:val="808080"/>
    </w:rPr>
  </w:style>
  <w:style w:type="paragraph" w:customStyle="1" w:styleId="ABEC8B32B9F6433CA8CC108FC9314494">
    <w:name w:val="ABEC8B32B9F6433CA8CC108FC9314494"/>
    <w:rsid w:val="00A37B95"/>
  </w:style>
  <w:style w:type="paragraph" w:customStyle="1" w:styleId="225355914427492EB1E726A4F1CEBBAD">
    <w:name w:val="225355914427492EB1E726A4F1CEBBAD"/>
    <w:rsid w:val="00A37B95"/>
  </w:style>
  <w:style w:type="paragraph" w:customStyle="1" w:styleId="4227E42FBF5D41A59CD15B3F24269B15">
    <w:name w:val="4227E42FBF5D41A59CD15B3F24269B15"/>
    <w:rsid w:val="00A37B95"/>
  </w:style>
  <w:style w:type="paragraph" w:customStyle="1" w:styleId="99607A9B211B4F85A54D48F330976275">
    <w:name w:val="99607A9B211B4F85A54D48F330976275"/>
    <w:rsid w:val="00A37B95"/>
  </w:style>
  <w:style w:type="paragraph" w:customStyle="1" w:styleId="8E502296C26D44AC8C8F3372DFD50EA2">
    <w:name w:val="8E502296C26D44AC8C8F3372DFD50EA2"/>
    <w:rsid w:val="00A37B95"/>
  </w:style>
  <w:style w:type="paragraph" w:customStyle="1" w:styleId="421736B0873B407A89700734F39D1397">
    <w:name w:val="421736B0873B407A89700734F39D1397"/>
    <w:rsid w:val="00A37B95"/>
  </w:style>
  <w:style w:type="paragraph" w:customStyle="1" w:styleId="101594174D704EACB9C18E88CF95CCD2">
    <w:name w:val="101594174D704EACB9C18E88CF95CCD2"/>
    <w:rsid w:val="00A37B95"/>
  </w:style>
  <w:style w:type="paragraph" w:customStyle="1" w:styleId="43EBAD07950B493FB428724BA27390BC">
    <w:name w:val="43EBAD07950B493FB428724BA27390BC"/>
    <w:rsid w:val="00A37B95"/>
  </w:style>
  <w:style w:type="paragraph" w:customStyle="1" w:styleId="E6A06BE7254B480C876A74773061CA2D">
    <w:name w:val="E6A06BE7254B480C876A74773061CA2D"/>
    <w:rsid w:val="00A37B95"/>
  </w:style>
  <w:style w:type="paragraph" w:customStyle="1" w:styleId="F916F723EA7F4701B2FDC580C8E2E67F">
    <w:name w:val="F916F723EA7F4701B2FDC580C8E2E67F"/>
    <w:rsid w:val="00A37B95"/>
  </w:style>
  <w:style w:type="paragraph" w:customStyle="1" w:styleId="42CBD9A81FBC442194B0CCE82C88991E">
    <w:name w:val="42CBD9A81FBC442194B0CCE82C88991E"/>
    <w:rsid w:val="00A37B95"/>
  </w:style>
  <w:style w:type="paragraph" w:customStyle="1" w:styleId="FFC0FC91A9814EFDB4E0544E236D7CFD">
    <w:name w:val="FFC0FC91A9814EFDB4E0544E236D7CFD"/>
    <w:rsid w:val="00A37B95"/>
  </w:style>
  <w:style w:type="paragraph" w:customStyle="1" w:styleId="1E920047A26D4B48B6BA13C28CD5E232">
    <w:name w:val="1E920047A26D4B48B6BA13C28CD5E232"/>
    <w:rsid w:val="00A37B95"/>
  </w:style>
  <w:style w:type="paragraph" w:customStyle="1" w:styleId="3EDACD771B9C45DDA2A62A6D8DA0D513">
    <w:name w:val="3EDACD771B9C45DDA2A62A6D8DA0D513"/>
    <w:rsid w:val="00A37B95"/>
  </w:style>
  <w:style w:type="paragraph" w:customStyle="1" w:styleId="548B630ECFB44DDAA63BE28F770879A8">
    <w:name w:val="548B630ECFB44DDAA63BE28F770879A8"/>
    <w:rsid w:val="00A37B95"/>
  </w:style>
  <w:style w:type="paragraph" w:customStyle="1" w:styleId="9AC034CFC02A41278BA6000081793F5C">
    <w:name w:val="9AC034CFC02A41278BA6000081793F5C"/>
    <w:rsid w:val="00A37B95"/>
  </w:style>
  <w:style w:type="paragraph" w:customStyle="1" w:styleId="AA5ABE17EC4C4A798F7125F44D229FBA">
    <w:name w:val="AA5ABE17EC4C4A798F7125F44D229FBA"/>
    <w:rsid w:val="00A37B95"/>
  </w:style>
  <w:style w:type="paragraph" w:customStyle="1" w:styleId="A3D9C5A2DD7045239EB54EACA00659DE">
    <w:name w:val="A3D9C5A2DD7045239EB54EACA00659DE"/>
    <w:rsid w:val="00A37B95"/>
  </w:style>
  <w:style w:type="paragraph" w:customStyle="1" w:styleId="9F11CD3FEAEE42A1B53F2C55C9A55D73">
    <w:name w:val="9F11CD3FEAEE42A1B53F2C55C9A55D73"/>
    <w:rsid w:val="00A37B95"/>
  </w:style>
  <w:style w:type="paragraph" w:customStyle="1" w:styleId="67662898444C4E01B21D0B8516B8CFB4">
    <w:name w:val="67662898444C4E01B21D0B8516B8CFB4"/>
    <w:rsid w:val="00A37B95"/>
  </w:style>
  <w:style w:type="paragraph" w:customStyle="1" w:styleId="EF282B767856462FBFF868CB9E8BDF03">
    <w:name w:val="EF282B767856462FBFF868CB9E8BDF03"/>
    <w:rsid w:val="00A37B95"/>
  </w:style>
  <w:style w:type="paragraph" w:customStyle="1" w:styleId="F3078FF38D0044DD99BBF4BF9A3FE7E9">
    <w:name w:val="F3078FF38D0044DD99BBF4BF9A3FE7E9"/>
    <w:rsid w:val="00A37B95"/>
  </w:style>
  <w:style w:type="paragraph" w:customStyle="1" w:styleId="9B566F2C38784730B73E0CF27E934BA7">
    <w:name w:val="9B566F2C38784730B73E0CF27E934BA7"/>
    <w:rsid w:val="00A37B95"/>
  </w:style>
  <w:style w:type="paragraph" w:customStyle="1" w:styleId="F31C873799454A0F84BCD0452902FA5C">
    <w:name w:val="F31C873799454A0F84BCD0452902FA5C"/>
    <w:rsid w:val="00A37B95"/>
  </w:style>
  <w:style w:type="paragraph" w:customStyle="1" w:styleId="078A003781BB4762AC4CBEA093CC2601">
    <w:name w:val="078A003781BB4762AC4CBEA093CC2601"/>
    <w:rsid w:val="00A37B95"/>
  </w:style>
  <w:style w:type="paragraph" w:customStyle="1" w:styleId="964BE969B223469CAC9D814B9DADA902">
    <w:name w:val="964BE969B223469CAC9D814B9DADA902"/>
    <w:rsid w:val="00A37B95"/>
  </w:style>
  <w:style w:type="paragraph" w:customStyle="1" w:styleId="5A2CE0B0C29B434F9AC8829E3BDA97DE">
    <w:name w:val="5A2CE0B0C29B434F9AC8829E3BDA97DE"/>
    <w:rsid w:val="00A37B95"/>
  </w:style>
  <w:style w:type="paragraph" w:customStyle="1" w:styleId="A166A9D33D5443AB9FD6642359525BC4">
    <w:name w:val="A166A9D33D5443AB9FD6642359525BC4"/>
    <w:rsid w:val="00A37B95"/>
  </w:style>
  <w:style w:type="paragraph" w:customStyle="1" w:styleId="A0E54E3A0E5441809481E553758FDA1F">
    <w:name w:val="A0E54E3A0E5441809481E553758FDA1F"/>
    <w:rsid w:val="00A37B95"/>
  </w:style>
  <w:style w:type="paragraph" w:customStyle="1" w:styleId="3002116095CD4B9D9A993306AD607164">
    <w:name w:val="3002116095CD4B9D9A993306AD607164"/>
    <w:rsid w:val="00A37B95"/>
  </w:style>
  <w:style w:type="paragraph" w:customStyle="1" w:styleId="AAF39D72419A40CA93A341DA45FCB205">
    <w:name w:val="AAF39D72419A40CA93A341DA45FCB205"/>
    <w:rsid w:val="00A37B95"/>
  </w:style>
  <w:style w:type="paragraph" w:customStyle="1" w:styleId="8E17B642B8714AD39CB29DBAB6582E0D">
    <w:name w:val="8E17B642B8714AD39CB29DBAB6582E0D"/>
    <w:rsid w:val="00A37B95"/>
  </w:style>
  <w:style w:type="paragraph" w:customStyle="1" w:styleId="7838749CF5EA404F84BD08888907211C">
    <w:name w:val="7838749CF5EA404F84BD08888907211C"/>
    <w:rsid w:val="00A37B95"/>
  </w:style>
  <w:style w:type="paragraph" w:customStyle="1" w:styleId="59E5E294956944A4AED364CEEF36E7C0">
    <w:name w:val="59E5E294956944A4AED364CEEF36E7C0"/>
    <w:rsid w:val="002D3E91"/>
  </w:style>
  <w:style w:type="paragraph" w:customStyle="1" w:styleId="266DA69AAB1E4EB89B0AD6395D6B1302">
    <w:name w:val="266DA69AAB1E4EB89B0AD6395D6B1302"/>
    <w:rsid w:val="002D3E91"/>
  </w:style>
  <w:style w:type="paragraph" w:customStyle="1" w:styleId="75943C141AF64D9BB7AB773DF5AF541F">
    <w:name w:val="75943C141AF64D9BB7AB773DF5AF541F"/>
    <w:rsid w:val="002D3E91"/>
  </w:style>
  <w:style w:type="paragraph" w:customStyle="1" w:styleId="094F52EA7318420B88BAAE06742F7A90">
    <w:name w:val="094F52EA7318420B88BAAE06742F7A90"/>
    <w:rsid w:val="002D3E91"/>
  </w:style>
  <w:style w:type="paragraph" w:customStyle="1" w:styleId="3C8CA45CC7E54B61BF01C874D4809F2F">
    <w:name w:val="3C8CA45CC7E54B61BF01C874D4809F2F"/>
    <w:rsid w:val="002D3E91"/>
  </w:style>
  <w:style w:type="paragraph" w:customStyle="1" w:styleId="05DC73704E1A4D49BEE11240F4F35253">
    <w:name w:val="05DC73704E1A4D49BEE11240F4F35253"/>
    <w:rsid w:val="002D3E91"/>
  </w:style>
  <w:style w:type="paragraph" w:customStyle="1" w:styleId="60D12A8C54E54F40A561424C6BE5E437">
    <w:name w:val="60D12A8C54E54F40A561424C6BE5E437"/>
    <w:rsid w:val="002D3E91"/>
  </w:style>
  <w:style w:type="paragraph" w:customStyle="1" w:styleId="314902DD480B4C35844273025AB96C57">
    <w:name w:val="314902DD480B4C35844273025AB96C57"/>
    <w:rsid w:val="002D3E91"/>
  </w:style>
  <w:style w:type="paragraph" w:customStyle="1" w:styleId="6F28CA9A40534EDD8BD16536EF59E3A1">
    <w:name w:val="6F28CA9A40534EDD8BD16536EF59E3A1"/>
    <w:rsid w:val="00AC0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actical business marketing plan">
  <a:themeElements>
    <a:clrScheme name="Custom 10">
      <a:dk1>
        <a:sysClr val="windowText" lastClr="000000"/>
      </a:dk1>
      <a:lt1>
        <a:sysClr val="window" lastClr="FFFFFF"/>
      </a:lt1>
      <a:dk2>
        <a:srgbClr val="335B74"/>
      </a:dk2>
      <a:lt2>
        <a:srgbClr val="DFE3E5"/>
      </a:lt2>
      <a:accent1>
        <a:srgbClr val="3F3F3F"/>
      </a:accent1>
      <a:accent2>
        <a:srgbClr val="3F3F3F"/>
      </a:accent2>
      <a:accent3>
        <a:srgbClr val="00B050"/>
      </a:accent3>
      <a:accent4>
        <a:srgbClr val="42BA97"/>
      </a:accent4>
      <a:accent5>
        <a:srgbClr val="3E8853"/>
      </a:accent5>
      <a:accent6>
        <a:srgbClr val="62A39F"/>
      </a:accent6>
      <a:hlink>
        <a:srgbClr val="6EAC1C"/>
      </a:hlink>
      <a:folHlink>
        <a:srgbClr val="B26B02"/>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27 may 2020</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3AC00E-C49F-4A5A-913A-ACFD8359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Tactical business marketing plan.dotx</Template>
  <TotalTime>1</TotalTime>
  <Pages>47</Pages>
  <Words>11019</Words>
  <Characters>89257</Characters>
  <Application>Microsoft Office Word</Application>
  <DocSecurity>0</DocSecurity>
  <Lines>743</Lines>
  <Paragraphs>200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Fimea</Company>
  <LinksUpToDate>false</LinksUpToDate>
  <CharactersWithSpaces>100076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Technical annex 2 to overall guidance: assessing the quality and safety of donor testing, pathogen reduction and sterilisation steps as part of Preparation Process Authorisation (PPA)</dc:subject>
  <dc:creator>user</dc:creator>
  <cp:keywords>This report is part of the project/joint action ‘785269/GAPP’ which has received funding from the European Union’s Health Programme (2014-2020). The content of this report represents the views of the author only and is his/her sole responsibility; it can not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cp:keywords>
  <cp:lastModifiedBy>Puomila Anu</cp:lastModifiedBy>
  <cp:revision>2</cp:revision>
  <dcterms:created xsi:type="dcterms:W3CDTF">2020-05-26T22:09:00Z</dcterms:created>
  <dcterms:modified xsi:type="dcterms:W3CDTF">2020-05-26T22:09:00Z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2018-04-07T04:43:58.0549681Z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